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EBAFE" w14:textId="77777777" w:rsidR="00A102D4" w:rsidRPr="00921FBE" w:rsidRDefault="00A102D4" w:rsidP="00612357">
      <w:pPr>
        <w:pStyle w:val="Body"/>
        <w:spacing w:line="240" w:lineRule="auto"/>
        <w:rPr>
          <w:color w:val="auto"/>
        </w:rPr>
      </w:pPr>
    </w:p>
    <w:p w14:paraId="72088181" w14:textId="77777777" w:rsidR="000A2BA8" w:rsidRPr="00921FBE" w:rsidRDefault="000A2BA8" w:rsidP="00612357">
      <w:pPr>
        <w:pStyle w:val="Body"/>
        <w:spacing w:line="240" w:lineRule="auto"/>
        <w:rPr>
          <w:color w:val="auto"/>
        </w:rPr>
      </w:pPr>
    </w:p>
    <w:p w14:paraId="2268F62E" w14:textId="77777777" w:rsidR="003C46EA" w:rsidRPr="00921FBE" w:rsidRDefault="003C46EA" w:rsidP="00612357">
      <w:pPr>
        <w:pStyle w:val="Body"/>
        <w:spacing w:line="240" w:lineRule="auto"/>
        <w:jc w:val="center"/>
        <w:rPr>
          <w:color w:val="auto"/>
        </w:rPr>
      </w:pPr>
    </w:p>
    <w:p w14:paraId="66C095FC" w14:textId="77777777" w:rsidR="003C46EA" w:rsidRPr="00921FBE" w:rsidRDefault="003C46EA" w:rsidP="00612357">
      <w:pPr>
        <w:pStyle w:val="Body"/>
        <w:spacing w:line="240" w:lineRule="auto"/>
        <w:jc w:val="center"/>
        <w:rPr>
          <w:color w:val="auto"/>
        </w:rPr>
      </w:pPr>
    </w:p>
    <w:p w14:paraId="0A527BFB" w14:textId="77777777" w:rsidR="003C46EA" w:rsidRPr="00921FBE" w:rsidRDefault="003C46EA" w:rsidP="00612357">
      <w:pPr>
        <w:pStyle w:val="Body"/>
        <w:spacing w:line="240" w:lineRule="auto"/>
        <w:jc w:val="center"/>
        <w:rPr>
          <w:color w:val="auto"/>
        </w:rPr>
      </w:pPr>
    </w:p>
    <w:p w14:paraId="375D9966" w14:textId="77777777" w:rsidR="003C46EA" w:rsidRPr="00921FBE" w:rsidRDefault="003C46EA" w:rsidP="00612357">
      <w:pPr>
        <w:pStyle w:val="Body"/>
        <w:spacing w:line="240" w:lineRule="auto"/>
        <w:jc w:val="center"/>
        <w:rPr>
          <w:color w:val="auto"/>
        </w:rPr>
      </w:pPr>
    </w:p>
    <w:p w14:paraId="4181BB00" w14:textId="77777777" w:rsidR="003C46EA" w:rsidRPr="00921FBE" w:rsidRDefault="003C46EA" w:rsidP="00612357">
      <w:pPr>
        <w:pStyle w:val="Body"/>
        <w:spacing w:line="240" w:lineRule="auto"/>
        <w:jc w:val="center"/>
        <w:rPr>
          <w:color w:val="auto"/>
        </w:rPr>
      </w:pPr>
    </w:p>
    <w:p w14:paraId="0FE7C994" w14:textId="77777777" w:rsidR="003C46EA" w:rsidRPr="00921FBE" w:rsidRDefault="003C46EA" w:rsidP="00612357">
      <w:pPr>
        <w:pStyle w:val="Body"/>
        <w:spacing w:line="240" w:lineRule="auto"/>
        <w:jc w:val="center"/>
        <w:rPr>
          <w:color w:val="auto"/>
        </w:rPr>
      </w:pPr>
    </w:p>
    <w:p w14:paraId="361F7A7E" w14:textId="77777777" w:rsidR="003C46EA" w:rsidRPr="00921FBE" w:rsidRDefault="003C46EA" w:rsidP="00612357">
      <w:pPr>
        <w:pStyle w:val="Body"/>
        <w:spacing w:line="240" w:lineRule="auto"/>
        <w:jc w:val="center"/>
        <w:rPr>
          <w:color w:val="auto"/>
        </w:rPr>
      </w:pPr>
    </w:p>
    <w:p w14:paraId="59C88932" w14:textId="3DF5DF75" w:rsidR="0021456D" w:rsidRPr="00921FBE" w:rsidRDefault="00CE7D8C" w:rsidP="00612357">
      <w:pPr>
        <w:pStyle w:val="Body"/>
        <w:spacing w:line="240" w:lineRule="auto"/>
        <w:jc w:val="center"/>
        <w:rPr>
          <w:b/>
          <w:bCs/>
          <w:color w:val="auto"/>
          <w:sz w:val="32"/>
          <w:szCs w:val="32"/>
        </w:rPr>
      </w:pPr>
      <w:r w:rsidRPr="00921FBE">
        <w:rPr>
          <w:b/>
          <w:bCs/>
          <w:color w:val="auto"/>
          <w:sz w:val="32"/>
          <w:szCs w:val="32"/>
        </w:rPr>
        <w:t xml:space="preserve">USE-CASES </w:t>
      </w:r>
      <w:r w:rsidR="001777B3" w:rsidRPr="00921FBE">
        <w:rPr>
          <w:b/>
          <w:bCs/>
          <w:color w:val="auto"/>
          <w:sz w:val="32"/>
          <w:szCs w:val="32"/>
        </w:rPr>
        <w:t>–</w:t>
      </w:r>
      <w:r w:rsidRPr="00921FBE">
        <w:rPr>
          <w:b/>
          <w:bCs/>
          <w:color w:val="auto"/>
          <w:sz w:val="32"/>
          <w:szCs w:val="32"/>
        </w:rPr>
        <w:t xml:space="preserve"> </w:t>
      </w:r>
      <w:r w:rsidR="00631F5B" w:rsidRPr="00631F5B">
        <w:rPr>
          <w:b/>
          <w:bCs/>
          <w:color w:val="auto"/>
          <w:sz w:val="32"/>
          <w:szCs w:val="32"/>
        </w:rPr>
        <w:t>SPACE FOR SUSTAINABLE INDUSTRY AND DIGITAL BUSINESS TRANSFORMATION</w:t>
      </w:r>
    </w:p>
    <w:p w14:paraId="4B5D2CE5" w14:textId="77C0490E" w:rsidR="00316532" w:rsidRPr="00921FBE" w:rsidRDefault="00316532" w:rsidP="00612357">
      <w:pPr>
        <w:pStyle w:val="Body"/>
        <w:spacing w:line="240" w:lineRule="auto"/>
        <w:jc w:val="center"/>
        <w:rPr>
          <w:color w:val="auto"/>
        </w:rPr>
      </w:pPr>
    </w:p>
    <w:p w14:paraId="62CF62E5" w14:textId="77777777" w:rsidR="0034165B" w:rsidRPr="00921FBE" w:rsidRDefault="0034165B" w:rsidP="00612357">
      <w:pPr>
        <w:pStyle w:val="Body"/>
        <w:spacing w:line="240" w:lineRule="auto"/>
        <w:jc w:val="left"/>
        <w:rPr>
          <w:color w:val="auto"/>
        </w:rPr>
      </w:pPr>
    </w:p>
    <w:p w14:paraId="1F8C7FB4" w14:textId="77777777" w:rsidR="00E930ED" w:rsidRPr="00921FBE" w:rsidRDefault="00E930ED" w:rsidP="00612357">
      <w:pPr>
        <w:pStyle w:val="Body"/>
        <w:spacing w:line="240" w:lineRule="auto"/>
        <w:jc w:val="left"/>
        <w:rPr>
          <w:color w:val="auto"/>
        </w:rPr>
      </w:pPr>
    </w:p>
    <w:p w14:paraId="20C154D1" w14:textId="77777777" w:rsidR="00E930ED" w:rsidRPr="00921FBE" w:rsidRDefault="00E930ED" w:rsidP="00612357">
      <w:pPr>
        <w:pStyle w:val="Body"/>
        <w:spacing w:line="240" w:lineRule="auto"/>
        <w:jc w:val="left"/>
        <w:rPr>
          <w:color w:val="auto"/>
        </w:rPr>
      </w:pPr>
    </w:p>
    <w:p w14:paraId="23CEED43" w14:textId="77777777" w:rsidR="00E930ED" w:rsidRPr="00921FBE" w:rsidRDefault="00E930ED" w:rsidP="00612357">
      <w:pPr>
        <w:pStyle w:val="Body"/>
        <w:spacing w:line="240" w:lineRule="auto"/>
        <w:jc w:val="left"/>
        <w:rPr>
          <w:color w:val="auto"/>
        </w:rPr>
      </w:pPr>
    </w:p>
    <w:p w14:paraId="0A04898C" w14:textId="77777777" w:rsidR="00E930ED" w:rsidRPr="00921FBE" w:rsidRDefault="00E930ED" w:rsidP="00612357">
      <w:pPr>
        <w:pStyle w:val="Body"/>
        <w:spacing w:line="240" w:lineRule="auto"/>
        <w:jc w:val="left"/>
        <w:rPr>
          <w:color w:val="auto"/>
        </w:rPr>
      </w:pPr>
    </w:p>
    <w:p w14:paraId="63E9FB65" w14:textId="77777777" w:rsidR="00E930ED" w:rsidRPr="00921FBE" w:rsidRDefault="00E930ED" w:rsidP="00612357">
      <w:pPr>
        <w:pStyle w:val="Body"/>
        <w:spacing w:line="240" w:lineRule="auto"/>
        <w:jc w:val="left"/>
        <w:rPr>
          <w:color w:val="auto"/>
        </w:rPr>
      </w:pPr>
    </w:p>
    <w:p w14:paraId="14F4ACD6" w14:textId="77777777" w:rsidR="00E930ED" w:rsidRPr="00921FBE" w:rsidRDefault="00E930ED" w:rsidP="00612357">
      <w:pPr>
        <w:pStyle w:val="Body"/>
        <w:spacing w:line="240" w:lineRule="auto"/>
        <w:jc w:val="left"/>
        <w:rPr>
          <w:color w:val="auto"/>
        </w:rPr>
      </w:pPr>
    </w:p>
    <w:p w14:paraId="13CC8C4F" w14:textId="77777777" w:rsidR="00612357" w:rsidRPr="00921FBE" w:rsidRDefault="00612357" w:rsidP="00612357">
      <w:pPr>
        <w:pStyle w:val="Body"/>
        <w:spacing w:line="240" w:lineRule="auto"/>
        <w:jc w:val="left"/>
        <w:rPr>
          <w:color w:val="auto"/>
        </w:rPr>
      </w:pPr>
    </w:p>
    <w:p w14:paraId="0347014F" w14:textId="77777777" w:rsidR="00612357" w:rsidRPr="00921FBE" w:rsidRDefault="00612357" w:rsidP="00612357">
      <w:pPr>
        <w:pStyle w:val="Body"/>
        <w:spacing w:line="240" w:lineRule="auto"/>
        <w:jc w:val="left"/>
        <w:rPr>
          <w:color w:val="auto"/>
        </w:rPr>
      </w:pPr>
    </w:p>
    <w:p w14:paraId="5255D949" w14:textId="77777777" w:rsidR="00612357" w:rsidRPr="00921FBE" w:rsidRDefault="00612357" w:rsidP="00612357">
      <w:pPr>
        <w:pStyle w:val="Body"/>
        <w:spacing w:line="240" w:lineRule="auto"/>
        <w:jc w:val="left"/>
        <w:rPr>
          <w:color w:val="auto"/>
        </w:rPr>
      </w:pPr>
    </w:p>
    <w:p w14:paraId="66C21054" w14:textId="77777777" w:rsidR="00612357" w:rsidRPr="00921FBE" w:rsidRDefault="00612357" w:rsidP="00612357">
      <w:pPr>
        <w:pStyle w:val="Body"/>
        <w:spacing w:line="240" w:lineRule="auto"/>
        <w:jc w:val="left"/>
        <w:rPr>
          <w:color w:val="auto"/>
        </w:rPr>
      </w:pPr>
    </w:p>
    <w:p w14:paraId="1EED0BCF" w14:textId="77777777" w:rsidR="00612357" w:rsidRPr="00921FBE" w:rsidRDefault="00612357" w:rsidP="00612357">
      <w:pPr>
        <w:pStyle w:val="Body"/>
        <w:spacing w:line="240" w:lineRule="auto"/>
        <w:jc w:val="left"/>
        <w:rPr>
          <w:color w:val="auto"/>
        </w:rPr>
      </w:pPr>
    </w:p>
    <w:p w14:paraId="78E5335D" w14:textId="77777777" w:rsidR="00612357" w:rsidRPr="00921FBE" w:rsidRDefault="00612357" w:rsidP="00612357">
      <w:pPr>
        <w:pStyle w:val="Body"/>
        <w:spacing w:line="240" w:lineRule="auto"/>
        <w:jc w:val="left"/>
        <w:rPr>
          <w:color w:val="auto"/>
        </w:rPr>
      </w:pPr>
    </w:p>
    <w:p w14:paraId="24C965CC" w14:textId="77777777" w:rsidR="00612357" w:rsidRPr="00921FBE" w:rsidRDefault="00612357" w:rsidP="00612357">
      <w:pPr>
        <w:pStyle w:val="Body"/>
        <w:spacing w:line="240" w:lineRule="auto"/>
        <w:jc w:val="left"/>
        <w:rPr>
          <w:color w:val="auto"/>
        </w:rPr>
      </w:pPr>
    </w:p>
    <w:p w14:paraId="55F82590" w14:textId="77777777" w:rsidR="00612357" w:rsidRPr="00921FBE" w:rsidRDefault="00612357" w:rsidP="00612357">
      <w:pPr>
        <w:pStyle w:val="Body"/>
        <w:spacing w:line="240" w:lineRule="auto"/>
        <w:jc w:val="left"/>
        <w:rPr>
          <w:color w:val="auto"/>
        </w:rPr>
      </w:pPr>
    </w:p>
    <w:p w14:paraId="646FE5E9" w14:textId="77777777" w:rsidR="00612357" w:rsidRPr="00921FBE" w:rsidRDefault="00612357" w:rsidP="00612357">
      <w:pPr>
        <w:pStyle w:val="Body"/>
        <w:spacing w:line="240" w:lineRule="auto"/>
        <w:jc w:val="left"/>
        <w:rPr>
          <w:color w:val="auto"/>
        </w:rPr>
      </w:pPr>
    </w:p>
    <w:p w14:paraId="69405C64" w14:textId="77777777" w:rsidR="00612357" w:rsidRPr="00921FBE" w:rsidRDefault="00612357" w:rsidP="00612357">
      <w:pPr>
        <w:pStyle w:val="Body"/>
        <w:spacing w:line="240" w:lineRule="auto"/>
        <w:jc w:val="left"/>
        <w:rPr>
          <w:color w:val="auto"/>
        </w:rPr>
      </w:pPr>
    </w:p>
    <w:p w14:paraId="29BDB649" w14:textId="1713255E" w:rsidR="00E930ED" w:rsidRPr="00921FBE" w:rsidRDefault="00E930ED" w:rsidP="00612357">
      <w:pPr>
        <w:pStyle w:val="Body"/>
        <w:spacing w:line="240" w:lineRule="auto"/>
        <w:jc w:val="left"/>
        <w:rPr>
          <w:color w:val="auto"/>
          <w:highlight w:val="yellow"/>
          <w:lang w:val="es-ES"/>
        </w:rPr>
      </w:pPr>
      <w:proofErr w:type="spellStart"/>
      <w:r w:rsidRPr="00921FBE">
        <w:rPr>
          <w:color w:val="auto"/>
          <w:highlight w:val="yellow"/>
          <w:lang w:val="es-ES"/>
        </w:rPr>
        <w:t>Prepared</w:t>
      </w:r>
      <w:proofErr w:type="spellEnd"/>
      <w:r w:rsidRPr="00921FBE">
        <w:rPr>
          <w:color w:val="auto"/>
          <w:highlight w:val="yellow"/>
          <w:lang w:val="es-ES"/>
        </w:rPr>
        <w:t xml:space="preserve"> </w:t>
      </w:r>
      <w:proofErr w:type="spellStart"/>
      <w:r w:rsidRPr="00921FBE">
        <w:rPr>
          <w:color w:val="auto"/>
          <w:highlight w:val="yellow"/>
          <w:lang w:val="es-ES"/>
        </w:rPr>
        <w:t>by</w:t>
      </w:r>
      <w:proofErr w:type="spellEnd"/>
      <w:r w:rsidRPr="00921FBE">
        <w:rPr>
          <w:color w:val="auto"/>
          <w:highlight w:val="yellow"/>
          <w:lang w:val="es-ES"/>
        </w:rPr>
        <w:t xml:space="preserve"> </w:t>
      </w:r>
      <w:r w:rsidRPr="00921FBE">
        <w:rPr>
          <w:color w:val="auto"/>
          <w:highlight w:val="yellow"/>
          <w:lang w:val="es-ES"/>
        </w:rPr>
        <w:tab/>
      </w:r>
      <w:r w:rsidRPr="00921FBE">
        <w:rPr>
          <w:color w:val="auto"/>
          <w:highlight w:val="yellow"/>
          <w:lang w:val="es-ES"/>
        </w:rPr>
        <w:tab/>
        <w:t>ESA</w:t>
      </w:r>
    </w:p>
    <w:p w14:paraId="072184ED" w14:textId="353CCDB0" w:rsidR="00E930ED" w:rsidRPr="00921FBE" w:rsidRDefault="00E930ED" w:rsidP="00612357">
      <w:pPr>
        <w:pStyle w:val="Body"/>
        <w:spacing w:line="240" w:lineRule="auto"/>
        <w:jc w:val="left"/>
        <w:rPr>
          <w:color w:val="auto"/>
          <w:highlight w:val="yellow"/>
          <w:lang w:val="es-ES"/>
        </w:rPr>
      </w:pPr>
      <w:r w:rsidRPr="00921FBE">
        <w:rPr>
          <w:color w:val="auto"/>
          <w:highlight w:val="yellow"/>
          <w:lang w:val="es-ES"/>
        </w:rPr>
        <w:t>Reference</w:t>
      </w:r>
      <w:r w:rsidRPr="00921FBE">
        <w:rPr>
          <w:color w:val="auto"/>
          <w:highlight w:val="yellow"/>
          <w:lang w:val="es-ES"/>
        </w:rPr>
        <w:tab/>
      </w:r>
      <w:r w:rsidRPr="00921FBE">
        <w:rPr>
          <w:color w:val="auto"/>
          <w:highlight w:val="yellow"/>
          <w:lang w:val="es-ES"/>
        </w:rPr>
        <w:tab/>
      </w:r>
      <w:r w:rsidR="004279C9" w:rsidRPr="00921FBE">
        <w:rPr>
          <w:color w:val="auto"/>
          <w:highlight w:val="yellow"/>
          <w:lang w:val="es-ES"/>
        </w:rPr>
        <w:t>ESA-CICA-SOW-2025-2838</w:t>
      </w:r>
    </w:p>
    <w:p w14:paraId="7D5CC12C" w14:textId="6A6BA8F9" w:rsidR="0021456D" w:rsidRPr="00921FBE" w:rsidRDefault="00E930ED" w:rsidP="00612357">
      <w:pPr>
        <w:pStyle w:val="Body"/>
        <w:spacing w:line="240" w:lineRule="auto"/>
        <w:jc w:val="left"/>
        <w:rPr>
          <w:color w:val="auto"/>
          <w:highlight w:val="yellow"/>
        </w:rPr>
      </w:pPr>
      <w:r w:rsidRPr="00921FBE">
        <w:rPr>
          <w:color w:val="auto"/>
          <w:highlight w:val="yellow"/>
        </w:rPr>
        <w:t>Issue/Revision</w:t>
      </w:r>
      <w:r w:rsidRPr="00921FBE">
        <w:rPr>
          <w:color w:val="auto"/>
          <w:highlight w:val="yellow"/>
        </w:rPr>
        <w:tab/>
        <w:t>1.0</w:t>
      </w:r>
    </w:p>
    <w:p w14:paraId="2745CF74" w14:textId="4B6DE549" w:rsidR="00E930ED" w:rsidRPr="00921FBE" w:rsidRDefault="00E930ED" w:rsidP="00612357">
      <w:pPr>
        <w:pStyle w:val="Body"/>
        <w:spacing w:line="240" w:lineRule="auto"/>
        <w:jc w:val="left"/>
        <w:rPr>
          <w:color w:val="auto"/>
          <w:highlight w:val="yellow"/>
        </w:rPr>
      </w:pPr>
      <w:r w:rsidRPr="00921FBE">
        <w:rPr>
          <w:color w:val="auto"/>
          <w:highlight w:val="yellow"/>
        </w:rPr>
        <w:t xml:space="preserve">Date of Issue </w:t>
      </w:r>
      <w:r w:rsidR="0021456D" w:rsidRPr="00921FBE">
        <w:rPr>
          <w:color w:val="auto"/>
          <w:highlight w:val="yellow"/>
        </w:rPr>
        <w:t xml:space="preserve">          </w:t>
      </w:r>
      <w:r w:rsidR="001777B3" w:rsidRPr="00921FBE">
        <w:rPr>
          <w:color w:val="auto"/>
          <w:highlight w:val="yellow"/>
        </w:rPr>
        <w:t>04</w:t>
      </w:r>
      <w:r w:rsidR="0021456D" w:rsidRPr="00921FBE">
        <w:rPr>
          <w:color w:val="auto"/>
          <w:highlight w:val="yellow"/>
        </w:rPr>
        <w:t>/0</w:t>
      </w:r>
      <w:r w:rsidR="001777B3" w:rsidRPr="00921FBE">
        <w:rPr>
          <w:color w:val="auto"/>
          <w:highlight w:val="yellow"/>
        </w:rPr>
        <w:t>3</w:t>
      </w:r>
      <w:r w:rsidR="0021456D" w:rsidRPr="00921FBE">
        <w:rPr>
          <w:color w:val="auto"/>
          <w:highlight w:val="yellow"/>
        </w:rPr>
        <w:t>/2025</w:t>
      </w:r>
    </w:p>
    <w:p w14:paraId="0AF88FA8" w14:textId="00048F2F" w:rsidR="00E930ED" w:rsidRPr="00921FBE" w:rsidRDefault="00E930ED" w:rsidP="00612357">
      <w:pPr>
        <w:pStyle w:val="Body"/>
        <w:spacing w:line="240" w:lineRule="auto"/>
        <w:jc w:val="left"/>
        <w:rPr>
          <w:color w:val="auto"/>
        </w:rPr>
      </w:pPr>
      <w:r w:rsidRPr="00921FBE">
        <w:rPr>
          <w:color w:val="auto"/>
          <w:highlight w:val="yellow"/>
        </w:rPr>
        <w:t xml:space="preserve">Status </w:t>
      </w:r>
      <w:r w:rsidR="0021456D" w:rsidRPr="00921FBE">
        <w:rPr>
          <w:color w:val="auto"/>
          <w:highlight w:val="yellow"/>
        </w:rPr>
        <w:t xml:space="preserve">                     </w:t>
      </w:r>
      <w:r w:rsidR="00642C85" w:rsidRPr="00921FBE">
        <w:rPr>
          <w:color w:val="auto"/>
          <w:highlight w:val="yellow"/>
        </w:rPr>
        <w:t>Final</w:t>
      </w:r>
    </w:p>
    <w:p w14:paraId="096BE793" w14:textId="77777777" w:rsidR="00F65C8D" w:rsidRPr="00921FBE" w:rsidRDefault="00F65C8D" w:rsidP="00612357">
      <w:pPr>
        <w:pStyle w:val="Body"/>
        <w:spacing w:line="240" w:lineRule="auto"/>
        <w:jc w:val="left"/>
        <w:rPr>
          <w:color w:val="auto"/>
        </w:rPr>
      </w:pPr>
    </w:p>
    <w:p w14:paraId="0909FF20" w14:textId="69A4BEA3" w:rsidR="0030712F" w:rsidRPr="00921FBE" w:rsidRDefault="0030712F">
      <w:pPr>
        <w:rPr>
          <w:rFonts w:cs="Arial"/>
          <w:szCs w:val="24"/>
        </w:rPr>
      </w:pPr>
      <w:r w:rsidRPr="00921FBE">
        <w:rPr>
          <w:rFonts w:cs="Arial"/>
        </w:rPr>
        <w:br w:type="page"/>
      </w:r>
    </w:p>
    <w:sdt>
      <w:sdtPr>
        <w:rPr>
          <w:rFonts w:cs="Arial"/>
          <w:lang w:val="en-GB"/>
        </w:rPr>
        <w:id w:val="1025290530"/>
        <w:docPartObj>
          <w:docPartGallery w:val="Table of Contents"/>
          <w:docPartUnique/>
        </w:docPartObj>
      </w:sdtPr>
      <w:sdtEndPr>
        <w:rPr>
          <w:b/>
          <w:bCs/>
          <w:noProof/>
        </w:rPr>
      </w:sdtEndPr>
      <w:sdtContent>
        <w:p w14:paraId="24240D92" w14:textId="0B33AA15" w:rsidR="00120261" w:rsidRPr="00921FBE" w:rsidRDefault="00E74406" w:rsidP="00120261">
          <w:pPr>
            <w:pStyle w:val="TOCHeading"/>
            <w:rPr>
              <w:rFonts w:cs="Arial"/>
            </w:rPr>
          </w:pPr>
          <w:r w:rsidRPr="00921FBE">
            <w:rPr>
              <w:rFonts w:cs="Arial"/>
              <w:lang w:val="en-GB"/>
            </w:rPr>
            <w:t xml:space="preserve">Table of </w:t>
          </w:r>
          <w:r w:rsidR="00120261" w:rsidRPr="00921FBE">
            <w:rPr>
              <w:rFonts w:cs="Arial"/>
            </w:rPr>
            <w:t>Contents</w:t>
          </w:r>
        </w:p>
        <w:p w14:paraId="6615F070" w14:textId="77777777" w:rsidR="003A2AC4" w:rsidRPr="00921FBE" w:rsidRDefault="003A2AC4" w:rsidP="003A2AC4">
          <w:pPr>
            <w:rPr>
              <w:rFonts w:cs="Arial"/>
              <w:lang w:val="en-US"/>
            </w:rPr>
          </w:pPr>
        </w:p>
        <w:p w14:paraId="1AAA5AD8" w14:textId="55B0BF6D" w:rsidR="00905E0B" w:rsidRDefault="00120261">
          <w:pPr>
            <w:pStyle w:val="TOC2"/>
            <w:rPr>
              <w:rFonts w:asciiTheme="minorHAnsi" w:hAnsiTheme="minorHAnsi" w:cstheme="minorBidi"/>
              <w:noProof/>
              <w:kern w:val="2"/>
              <w:szCs w:val="24"/>
              <w:lang w:val="en-GB" w:eastAsia="en-GB"/>
              <w14:ligatures w14:val="standardContextual"/>
            </w:rPr>
          </w:pPr>
          <w:r w:rsidRPr="00921FBE">
            <w:rPr>
              <w:rFonts w:cs="Arial"/>
            </w:rPr>
            <w:fldChar w:fldCharType="begin"/>
          </w:r>
          <w:r w:rsidRPr="00921FBE">
            <w:rPr>
              <w:rFonts w:cs="Arial"/>
            </w:rPr>
            <w:instrText xml:space="preserve"> TOC \o "1-3" \h \z \u </w:instrText>
          </w:r>
          <w:r w:rsidRPr="00921FBE">
            <w:rPr>
              <w:rFonts w:cs="Arial"/>
            </w:rPr>
            <w:fldChar w:fldCharType="separate"/>
          </w:r>
          <w:hyperlink w:anchor="_Toc240133372" w:history="1">
            <w:r w:rsidR="00905E0B" w:rsidRPr="007E0617">
              <w:rPr>
                <w:rStyle w:val="Hyperlink"/>
                <w:noProof/>
              </w:rPr>
              <w:t>1. Introduction</w:t>
            </w:r>
            <w:r w:rsidR="00905E0B">
              <w:rPr>
                <w:noProof/>
                <w:webHidden/>
              </w:rPr>
              <w:tab/>
            </w:r>
            <w:r w:rsidR="00905E0B">
              <w:rPr>
                <w:noProof/>
                <w:webHidden/>
              </w:rPr>
              <w:fldChar w:fldCharType="begin"/>
            </w:r>
            <w:r w:rsidR="00905E0B">
              <w:rPr>
                <w:noProof/>
                <w:webHidden/>
              </w:rPr>
              <w:instrText xml:space="preserve"> PAGEREF _Toc240133372 \h </w:instrText>
            </w:r>
            <w:r w:rsidR="00905E0B">
              <w:rPr>
                <w:noProof/>
                <w:webHidden/>
              </w:rPr>
            </w:r>
            <w:r w:rsidR="00905E0B">
              <w:rPr>
                <w:noProof/>
                <w:webHidden/>
              </w:rPr>
              <w:fldChar w:fldCharType="separate"/>
            </w:r>
            <w:r w:rsidR="00905E0B">
              <w:rPr>
                <w:noProof/>
                <w:webHidden/>
              </w:rPr>
              <w:t>4</w:t>
            </w:r>
            <w:r w:rsidR="00905E0B">
              <w:rPr>
                <w:noProof/>
                <w:webHidden/>
              </w:rPr>
              <w:fldChar w:fldCharType="end"/>
            </w:r>
          </w:hyperlink>
        </w:p>
        <w:p w14:paraId="146BC30C" w14:textId="0F8903B7" w:rsidR="00905E0B" w:rsidRDefault="00905E0B">
          <w:pPr>
            <w:pStyle w:val="TOC2"/>
            <w:rPr>
              <w:rFonts w:asciiTheme="minorHAnsi" w:hAnsiTheme="minorHAnsi" w:cstheme="minorBidi"/>
              <w:noProof/>
              <w:kern w:val="2"/>
              <w:szCs w:val="24"/>
              <w:lang w:val="en-GB" w:eastAsia="en-GB"/>
              <w14:ligatures w14:val="standardContextual"/>
            </w:rPr>
          </w:pPr>
          <w:hyperlink w:anchor="_Toc240133373" w:history="1">
            <w:r w:rsidRPr="007E0617">
              <w:rPr>
                <w:rStyle w:val="Hyperlink"/>
                <w:noProof/>
              </w:rPr>
              <w:t>2. Use Cases</w:t>
            </w:r>
            <w:r>
              <w:rPr>
                <w:noProof/>
                <w:webHidden/>
              </w:rPr>
              <w:tab/>
            </w:r>
            <w:r>
              <w:rPr>
                <w:noProof/>
                <w:webHidden/>
              </w:rPr>
              <w:fldChar w:fldCharType="begin"/>
            </w:r>
            <w:r>
              <w:rPr>
                <w:noProof/>
                <w:webHidden/>
              </w:rPr>
              <w:instrText xml:space="preserve"> PAGEREF _Toc240133373 \h </w:instrText>
            </w:r>
            <w:r>
              <w:rPr>
                <w:noProof/>
                <w:webHidden/>
              </w:rPr>
            </w:r>
            <w:r>
              <w:rPr>
                <w:noProof/>
                <w:webHidden/>
              </w:rPr>
              <w:fldChar w:fldCharType="separate"/>
            </w:r>
            <w:r>
              <w:rPr>
                <w:noProof/>
                <w:webHidden/>
              </w:rPr>
              <w:t>4</w:t>
            </w:r>
            <w:r>
              <w:rPr>
                <w:noProof/>
                <w:webHidden/>
              </w:rPr>
              <w:fldChar w:fldCharType="end"/>
            </w:r>
          </w:hyperlink>
        </w:p>
        <w:p w14:paraId="05266E24" w14:textId="06C408AD" w:rsidR="00905E0B" w:rsidRDefault="00905E0B">
          <w:pPr>
            <w:pStyle w:val="TOC2"/>
            <w:rPr>
              <w:rFonts w:asciiTheme="minorHAnsi" w:hAnsiTheme="minorHAnsi" w:cstheme="minorBidi"/>
              <w:noProof/>
              <w:kern w:val="2"/>
              <w:szCs w:val="24"/>
              <w:lang w:val="en-GB" w:eastAsia="en-GB"/>
              <w14:ligatures w14:val="standardContextual"/>
            </w:rPr>
          </w:pPr>
          <w:hyperlink w:anchor="_Toc240133374" w:history="1">
            <w:r w:rsidRPr="007E0617">
              <w:rPr>
                <w:rStyle w:val="Hyperlink"/>
                <w:noProof/>
              </w:rPr>
              <w:t>2.1 The Coca-Cola Company (TCCC)</w:t>
            </w:r>
            <w:r>
              <w:rPr>
                <w:noProof/>
                <w:webHidden/>
              </w:rPr>
              <w:tab/>
            </w:r>
            <w:r>
              <w:rPr>
                <w:noProof/>
                <w:webHidden/>
              </w:rPr>
              <w:fldChar w:fldCharType="begin"/>
            </w:r>
            <w:r>
              <w:rPr>
                <w:noProof/>
                <w:webHidden/>
              </w:rPr>
              <w:instrText xml:space="preserve"> PAGEREF _Toc240133374 \h </w:instrText>
            </w:r>
            <w:r>
              <w:rPr>
                <w:noProof/>
                <w:webHidden/>
              </w:rPr>
            </w:r>
            <w:r>
              <w:rPr>
                <w:noProof/>
                <w:webHidden/>
              </w:rPr>
              <w:fldChar w:fldCharType="separate"/>
            </w:r>
            <w:r>
              <w:rPr>
                <w:noProof/>
                <w:webHidden/>
              </w:rPr>
              <w:t>4</w:t>
            </w:r>
            <w:r>
              <w:rPr>
                <w:noProof/>
                <w:webHidden/>
              </w:rPr>
              <w:fldChar w:fldCharType="end"/>
            </w:r>
          </w:hyperlink>
        </w:p>
        <w:p w14:paraId="2E5C1932" w14:textId="3615656E" w:rsidR="00905E0B" w:rsidRDefault="00905E0B">
          <w:pPr>
            <w:pStyle w:val="TOC3"/>
            <w:tabs>
              <w:tab w:val="right" w:leader="dot" w:pos="9912"/>
            </w:tabs>
            <w:rPr>
              <w:rFonts w:asciiTheme="minorHAnsi" w:hAnsiTheme="minorHAnsi" w:cstheme="minorBidi"/>
              <w:noProof/>
              <w:kern w:val="2"/>
              <w:szCs w:val="24"/>
              <w:lang w:val="en-GB" w:eastAsia="en-GB"/>
              <w14:ligatures w14:val="standardContextual"/>
            </w:rPr>
          </w:pPr>
          <w:hyperlink w:anchor="_Toc240133375" w:history="1">
            <w:r w:rsidRPr="007E0617">
              <w:rPr>
                <w:rStyle w:val="Hyperlink"/>
                <w:rFonts w:eastAsiaTheme="minorHAnsi" w:cs="Arial"/>
                <w:b/>
                <w:i/>
                <w:noProof/>
              </w:rPr>
              <w:t>2.1.1 Use-case #1: Enhancing Water Risk Intelligence for the Coca-Cola System in the Rio Grande Basin</w:t>
            </w:r>
            <w:r>
              <w:rPr>
                <w:noProof/>
                <w:webHidden/>
              </w:rPr>
              <w:tab/>
            </w:r>
            <w:r>
              <w:rPr>
                <w:noProof/>
                <w:webHidden/>
              </w:rPr>
              <w:fldChar w:fldCharType="begin"/>
            </w:r>
            <w:r>
              <w:rPr>
                <w:noProof/>
                <w:webHidden/>
              </w:rPr>
              <w:instrText xml:space="preserve"> PAGEREF _Toc240133375 \h </w:instrText>
            </w:r>
            <w:r>
              <w:rPr>
                <w:noProof/>
                <w:webHidden/>
              </w:rPr>
            </w:r>
            <w:r>
              <w:rPr>
                <w:noProof/>
                <w:webHidden/>
              </w:rPr>
              <w:fldChar w:fldCharType="separate"/>
            </w:r>
            <w:r>
              <w:rPr>
                <w:noProof/>
                <w:webHidden/>
              </w:rPr>
              <w:t>4</w:t>
            </w:r>
            <w:r>
              <w:rPr>
                <w:noProof/>
                <w:webHidden/>
              </w:rPr>
              <w:fldChar w:fldCharType="end"/>
            </w:r>
          </w:hyperlink>
        </w:p>
        <w:p w14:paraId="1E3F5CE5" w14:textId="68FD641D" w:rsidR="00905E0B" w:rsidRDefault="00905E0B">
          <w:pPr>
            <w:pStyle w:val="TOC3"/>
            <w:tabs>
              <w:tab w:val="right" w:leader="dot" w:pos="9912"/>
            </w:tabs>
            <w:rPr>
              <w:rFonts w:asciiTheme="minorHAnsi" w:hAnsiTheme="minorHAnsi" w:cstheme="minorBidi"/>
              <w:noProof/>
              <w:kern w:val="2"/>
              <w:szCs w:val="24"/>
              <w:lang w:val="en-GB" w:eastAsia="en-GB"/>
              <w14:ligatures w14:val="standardContextual"/>
            </w:rPr>
          </w:pPr>
          <w:hyperlink w:anchor="_Toc240133376" w:history="1">
            <w:r w:rsidRPr="007E0617">
              <w:rPr>
                <w:rStyle w:val="Hyperlink"/>
                <w:rFonts w:eastAsiaTheme="minorHAnsi" w:cs="Arial"/>
                <w:b/>
                <w:i/>
                <w:noProof/>
              </w:rPr>
              <w:t>2.1.2 Use-case #2: Near Real-Time Satellite Imagery Capability</w:t>
            </w:r>
            <w:r>
              <w:rPr>
                <w:noProof/>
                <w:webHidden/>
              </w:rPr>
              <w:tab/>
            </w:r>
            <w:r>
              <w:rPr>
                <w:noProof/>
                <w:webHidden/>
              </w:rPr>
              <w:fldChar w:fldCharType="begin"/>
            </w:r>
            <w:r>
              <w:rPr>
                <w:noProof/>
                <w:webHidden/>
              </w:rPr>
              <w:instrText xml:space="preserve"> PAGEREF _Toc240133376 \h </w:instrText>
            </w:r>
            <w:r>
              <w:rPr>
                <w:noProof/>
                <w:webHidden/>
              </w:rPr>
            </w:r>
            <w:r>
              <w:rPr>
                <w:noProof/>
                <w:webHidden/>
              </w:rPr>
              <w:fldChar w:fldCharType="separate"/>
            </w:r>
            <w:r>
              <w:rPr>
                <w:noProof/>
                <w:webHidden/>
              </w:rPr>
              <w:t>9</w:t>
            </w:r>
            <w:r>
              <w:rPr>
                <w:noProof/>
                <w:webHidden/>
              </w:rPr>
              <w:fldChar w:fldCharType="end"/>
            </w:r>
          </w:hyperlink>
        </w:p>
        <w:p w14:paraId="7FDB8CD6" w14:textId="1E84C068" w:rsidR="00905E0B" w:rsidRDefault="00905E0B">
          <w:pPr>
            <w:pStyle w:val="TOC2"/>
            <w:rPr>
              <w:rFonts w:asciiTheme="minorHAnsi" w:hAnsiTheme="minorHAnsi" w:cstheme="minorBidi"/>
              <w:noProof/>
              <w:kern w:val="2"/>
              <w:szCs w:val="24"/>
              <w:lang w:val="en-GB" w:eastAsia="en-GB"/>
              <w14:ligatures w14:val="standardContextual"/>
            </w:rPr>
          </w:pPr>
          <w:hyperlink w:anchor="_Toc240133377" w:history="1">
            <w:r w:rsidRPr="007E0617">
              <w:rPr>
                <w:rStyle w:val="Hyperlink"/>
                <w:noProof/>
              </w:rPr>
              <w:t>2.2 Galp</w:t>
            </w:r>
            <w:r>
              <w:rPr>
                <w:noProof/>
                <w:webHidden/>
              </w:rPr>
              <w:tab/>
            </w:r>
            <w:r>
              <w:rPr>
                <w:noProof/>
                <w:webHidden/>
              </w:rPr>
              <w:fldChar w:fldCharType="begin"/>
            </w:r>
            <w:r>
              <w:rPr>
                <w:noProof/>
                <w:webHidden/>
              </w:rPr>
              <w:instrText xml:space="preserve"> PAGEREF _Toc240133377 \h </w:instrText>
            </w:r>
            <w:r>
              <w:rPr>
                <w:noProof/>
                <w:webHidden/>
              </w:rPr>
            </w:r>
            <w:r>
              <w:rPr>
                <w:noProof/>
                <w:webHidden/>
              </w:rPr>
              <w:fldChar w:fldCharType="separate"/>
            </w:r>
            <w:r>
              <w:rPr>
                <w:noProof/>
                <w:webHidden/>
              </w:rPr>
              <w:t>10</w:t>
            </w:r>
            <w:r>
              <w:rPr>
                <w:noProof/>
                <w:webHidden/>
              </w:rPr>
              <w:fldChar w:fldCharType="end"/>
            </w:r>
          </w:hyperlink>
        </w:p>
        <w:p w14:paraId="24B6F12B" w14:textId="62CB9101" w:rsidR="00905E0B" w:rsidRDefault="00905E0B">
          <w:pPr>
            <w:pStyle w:val="TOC3"/>
            <w:tabs>
              <w:tab w:val="right" w:leader="dot" w:pos="9912"/>
            </w:tabs>
            <w:rPr>
              <w:rFonts w:asciiTheme="minorHAnsi" w:hAnsiTheme="minorHAnsi" w:cstheme="minorBidi"/>
              <w:noProof/>
              <w:kern w:val="2"/>
              <w:szCs w:val="24"/>
              <w:lang w:val="en-GB" w:eastAsia="en-GB"/>
              <w14:ligatures w14:val="standardContextual"/>
            </w:rPr>
          </w:pPr>
          <w:hyperlink w:anchor="_Toc240133378" w:history="1">
            <w:r w:rsidRPr="007E0617">
              <w:rPr>
                <w:rStyle w:val="Hyperlink"/>
                <w:rFonts w:eastAsiaTheme="minorHAnsi" w:cs="Arial"/>
                <w:b/>
                <w:i/>
                <w:noProof/>
              </w:rPr>
              <w:t>2.2.1 Use-case #1: Soiling Intelligence</w:t>
            </w:r>
            <w:r>
              <w:rPr>
                <w:noProof/>
                <w:webHidden/>
              </w:rPr>
              <w:tab/>
            </w:r>
            <w:r>
              <w:rPr>
                <w:noProof/>
                <w:webHidden/>
              </w:rPr>
              <w:fldChar w:fldCharType="begin"/>
            </w:r>
            <w:r>
              <w:rPr>
                <w:noProof/>
                <w:webHidden/>
              </w:rPr>
              <w:instrText xml:space="preserve"> PAGEREF _Toc240133378 \h </w:instrText>
            </w:r>
            <w:r>
              <w:rPr>
                <w:noProof/>
                <w:webHidden/>
              </w:rPr>
            </w:r>
            <w:r>
              <w:rPr>
                <w:noProof/>
                <w:webHidden/>
              </w:rPr>
              <w:fldChar w:fldCharType="separate"/>
            </w:r>
            <w:r>
              <w:rPr>
                <w:noProof/>
                <w:webHidden/>
              </w:rPr>
              <w:t>10</w:t>
            </w:r>
            <w:r>
              <w:rPr>
                <w:noProof/>
                <w:webHidden/>
              </w:rPr>
              <w:fldChar w:fldCharType="end"/>
            </w:r>
          </w:hyperlink>
        </w:p>
        <w:p w14:paraId="194EC92D" w14:textId="69F9DB2E" w:rsidR="00905E0B" w:rsidRDefault="00905E0B">
          <w:pPr>
            <w:pStyle w:val="TOC3"/>
            <w:tabs>
              <w:tab w:val="right" w:leader="dot" w:pos="9912"/>
            </w:tabs>
            <w:rPr>
              <w:rFonts w:asciiTheme="minorHAnsi" w:hAnsiTheme="minorHAnsi" w:cstheme="minorBidi"/>
              <w:noProof/>
              <w:kern w:val="2"/>
              <w:szCs w:val="24"/>
              <w:lang w:val="en-GB" w:eastAsia="en-GB"/>
              <w14:ligatures w14:val="standardContextual"/>
            </w:rPr>
          </w:pPr>
          <w:hyperlink w:anchor="_Toc240133379" w:history="1">
            <w:r w:rsidRPr="007E0617">
              <w:rPr>
                <w:rStyle w:val="Hyperlink"/>
                <w:rFonts w:eastAsiaTheme="minorHAnsi" w:cs="Arial"/>
                <w:b/>
                <w:i/>
                <w:noProof/>
              </w:rPr>
              <w:t>2.2.2 Use-case #2: Curtailment Forecasting</w:t>
            </w:r>
            <w:r>
              <w:rPr>
                <w:noProof/>
                <w:webHidden/>
              </w:rPr>
              <w:tab/>
            </w:r>
            <w:r>
              <w:rPr>
                <w:noProof/>
                <w:webHidden/>
              </w:rPr>
              <w:fldChar w:fldCharType="begin"/>
            </w:r>
            <w:r>
              <w:rPr>
                <w:noProof/>
                <w:webHidden/>
              </w:rPr>
              <w:instrText xml:space="preserve"> PAGEREF _Toc240133379 \h </w:instrText>
            </w:r>
            <w:r>
              <w:rPr>
                <w:noProof/>
                <w:webHidden/>
              </w:rPr>
            </w:r>
            <w:r>
              <w:rPr>
                <w:noProof/>
                <w:webHidden/>
              </w:rPr>
              <w:fldChar w:fldCharType="separate"/>
            </w:r>
            <w:r>
              <w:rPr>
                <w:noProof/>
                <w:webHidden/>
              </w:rPr>
              <w:t>10</w:t>
            </w:r>
            <w:r>
              <w:rPr>
                <w:noProof/>
                <w:webHidden/>
              </w:rPr>
              <w:fldChar w:fldCharType="end"/>
            </w:r>
          </w:hyperlink>
        </w:p>
        <w:p w14:paraId="7E8892EB" w14:textId="70CB26FA" w:rsidR="00905E0B" w:rsidRDefault="00905E0B">
          <w:pPr>
            <w:pStyle w:val="TOC3"/>
            <w:tabs>
              <w:tab w:val="right" w:leader="dot" w:pos="9912"/>
            </w:tabs>
            <w:rPr>
              <w:rFonts w:asciiTheme="minorHAnsi" w:hAnsiTheme="minorHAnsi" w:cstheme="minorBidi"/>
              <w:noProof/>
              <w:kern w:val="2"/>
              <w:szCs w:val="24"/>
              <w:lang w:val="en-GB" w:eastAsia="en-GB"/>
              <w14:ligatures w14:val="standardContextual"/>
            </w:rPr>
          </w:pPr>
          <w:hyperlink w:anchor="_Toc240133380" w:history="1">
            <w:r w:rsidRPr="007E0617">
              <w:rPr>
                <w:rStyle w:val="Hyperlink"/>
                <w:rFonts w:eastAsiaTheme="minorHAnsi" w:cs="Arial"/>
                <w:b/>
                <w:i/>
                <w:noProof/>
              </w:rPr>
              <w:t>2.2.3 Use-case #3: Digital Twins</w:t>
            </w:r>
            <w:r>
              <w:rPr>
                <w:noProof/>
                <w:webHidden/>
              </w:rPr>
              <w:tab/>
            </w:r>
            <w:r>
              <w:rPr>
                <w:noProof/>
                <w:webHidden/>
              </w:rPr>
              <w:fldChar w:fldCharType="begin"/>
            </w:r>
            <w:r>
              <w:rPr>
                <w:noProof/>
                <w:webHidden/>
              </w:rPr>
              <w:instrText xml:space="preserve"> PAGEREF _Toc240133380 \h </w:instrText>
            </w:r>
            <w:r>
              <w:rPr>
                <w:noProof/>
                <w:webHidden/>
              </w:rPr>
            </w:r>
            <w:r>
              <w:rPr>
                <w:noProof/>
                <w:webHidden/>
              </w:rPr>
              <w:fldChar w:fldCharType="separate"/>
            </w:r>
            <w:r>
              <w:rPr>
                <w:noProof/>
                <w:webHidden/>
              </w:rPr>
              <w:t>11</w:t>
            </w:r>
            <w:r>
              <w:rPr>
                <w:noProof/>
                <w:webHidden/>
              </w:rPr>
              <w:fldChar w:fldCharType="end"/>
            </w:r>
          </w:hyperlink>
        </w:p>
        <w:p w14:paraId="58793DD3" w14:textId="5E11CF22" w:rsidR="00905E0B" w:rsidRDefault="00905E0B">
          <w:pPr>
            <w:pStyle w:val="TOC3"/>
            <w:tabs>
              <w:tab w:val="right" w:leader="dot" w:pos="9912"/>
            </w:tabs>
            <w:rPr>
              <w:rFonts w:asciiTheme="minorHAnsi" w:hAnsiTheme="minorHAnsi" w:cstheme="minorBidi"/>
              <w:noProof/>
              <w:kern w:val="2"/>
              <w:szCs w:val="24"/>
              <w:lang w:val="en-GB" w:eastAsia="en-GB"/>
              <w14:ligatures w14:val="standardContextual"/>
            </w:rPr>
          </w:pPr>
          <w:hyperlink w:anchor="_Toc240133381" w:history="1">
            <w:r w:rsidRPr="007E0617">
              <w:rPr>
                <w:rStyle w:val="Hyperlink"/>
                <w:rFonts w:eastAsiaTheme="minorHAnsi" w:cs="Arial"/>
                <w:b/>
                <w:i/>
                <w:noProof/>
              </w:rPr>
              <w:t>2.2.4 Use-case #4: Hybrid Asset Optimization</w:t>
            </w:r>
            <w:r>
              <w:rPr>
                <w:noProof/>
                <w:webHidden/>
              </w:rPr>
              <w:tab/>
            </w:r>
            <w:r>
              <w:rPr>
                <w:noProof/>
                <w:webHidden/>
              </w:rPr>
              <w:fldChar w:fldCharType="begin"/>
            </w:r>
            <w:r>
              <w:rPr>
                <w:noProof/>
                <w:webHidden/>
              </w:rPr>
              <w:instrText xml:space="preserve"> PAGEREF _Toc240133381 \h </w:instrText>
            </w:r>
            <w:r>
              <w:rPr>
                <w:noProof/>
                <w:webHidden/>
              </w:rPr>
            </w:r>
            <w:r>
              <w:rPr>
                <w:noProof/>
                <w:webHidden/>
              </w:rPr>
              <w:fldChar w:fldCharType="separate"/>
            </w:r>
            <w:r>
              <w:rPr>
                <w:noProof/>
                <w:webHidden/>
              </w:rPr>
              <w:t>11</w:t>
            </w:r>
            <w:r>
              <w:rPr>
                <w:noProof/>
                <w:webHidden/>
              </w:rPr>
              <w:fldChar w:fldCharType="end"/>
            </w:r>
          </w:hyperlink>
        </w:p>
        <w:p w14:paraId="3E45BC9E" w14:textId="0F33A4E1" w:rsidR="00905E0B" w:rsidRDefault="00905E0B">
          <w:pPr>
            <w:pStyle w:val="TOC3"/>
            <w:tabs>
              <w:tab w:val="right" w:leader="dot" w:pos="9912"/>
            </w:tabs>
            <w:rPr>
              <w:rFonts w:asciiTheme="minorHAnsi" w:hAnsiTheme="minorHAnsi" w:cstheme="minorBidi"/>
              <w:noProof/>
              <w:kern w:val="2"/>
              <w:szCs w:val="24"/>
              <w:lang w:val="en-GB" w:eastAsia="en-GB"/>
              <w14:ligatures w14:val="standardContextual"/>
            </w:rPr>
          </w:pPr>
          <w:hyperlink w:anchor="_Toc240133382" w:history="1">
            <w:r w:rsidRPr="007E0617">
              <w:rPr>
                <w:rStyle w:val="Hyperlink"/>
                <w:rFonts w:eastAsiaTheme="minorHAnsi" w:cs="Arial"/>
                <w:b/>
                <w:i/>
                <w:noProof/>
              </w:rPr>
              <w:t>2.2.5 Use-case #5: Predictive Maintenance</w:t>
            </w:r>
            <w:r>
              <w:rPr>
                <w:noProof/>
                <w:webHidden/>
              </w:rPr>
              <w:tab/>
            </w:r>
            <w:r>
              <w:rPr>
                <w:noProof/>
                <w:webHidden/>
              </w:rPr>
              <w:fldChar w:fldCharType="begin"/>
            </w:r>
            <w:r>
              <w:rPr>
                <w:noProof/>
                <w:webHidden/>
              </w:rPr>
              <w:instrText xml:space="preserve"> PAGEREF _Toc240133382 \h </w:instrText>
            </w:r>
            <w:r>
              <w:rPr>
                <w:noProof/>
                <w:webHidden/>
              </w:rPr>
            </w:r>
            <w:r>
              <w:rPr>
                <w:noProof/>
                <w:webHidden/>
              </w:rPr>
              <w:fldChar w:fldCharType="separate"/>
            </w:r>
            <w:r>
              <w:rPr>
                <w:noProof/>
                <w:webHidden/>
              </w:rPr>
              <w:t>11</w:t>
            </w:r>
            <w:r>
              <w:rPr>
                <w:noProof/>
                <w:webHidden/>
              </w:rPr>
              <w:fldChar w:fldCharType="end"/>
            </w:r>
          </w:hyperlink>
        </w:p>
        <w:p w14:paraId="1461C1A2" w14:textId="4ABE6F4A" w:rsidR="00905E0B" w:rsidRDefault="00905E0B">
          <w:pPr>
            <w:pStyle w:val="TOC2"/>
            <w:rPr>
              <w:rFonts w:asciiTheme="minorHAnsi" w:hAnsiTheme="minorHAnsi" w:cstheme="minorBidi"/>
              <w:noProof/>
              <w:kern w:val="2"/>
              <w:szCs w:val="24"/>
              <w:lang w:val="en-GB" w:eastAsia="en-GB"/>
              <w14:ligatures w14:val="standardContextual"/>
            </w:rPr>
          </w:pPr>
          <w:hyperlink w:anchor="_Toc240133383" w:history="1">
            <w:r w:rsidRPr="007E0617">
              <w:rPr>
                <w:rStyle w:val="Hyperlink"/>
                <w:noProof/>
              </w:rPr>
              <w:t>2.3 Tomorrowland/Love Tomorrow</w:t>
            </w:r>
            <w:r>
              <w:rPr>
                <w:noProof/>
                <w:webHidden/>
              </w:rPr>
              <w:tab/>
            </w:r>
            <w:r>
              <w:rPr>
                <w:noProof/>
                <w:webHidden/>
              </w:rPr>
              <w:fldChar w:fldCharType="begin"/>
            </w:r>
            <w:r>
              <w:rPr>
                <w:noProof/>
                <w:webHidden/>
              </w:rPr>
              <w:instrText xml:space="preserve"> PAGEREF _Toc240133383 \h </w:instrText>
            </w:r>
            <w:r>
              <w:rPr>
                <w:noProof/>
                <w:webHidden/>
              </w:rPr>
            </w:r>
            <w:r>
              <w:rPr>
                <w:noProof/>
                <w:webHidden/>
              </w:rPr>
              <w:fldChar w:fldCharType="separate"/>
            </w:r>
            <w:r>
              <w:rPr>
                <w:noProof/>
                <w:webHidden/>
              </w:rPr>
              <w:t>12</w:t>
            </w:r>
            <w:r>
              <w:rPr>
                <w:noProof/>
                <w:webHidden/>
              </w:rPr>
              <w:fldChar w:fldCharType="end"/>
            </w:r>
          </w:hyperlink>
        </w:p>
        <w:p w14:paraId="054E1B3A" w14:textId="1A1254F3" w:rsidR="00905E0B" w:rsidRDefault="00905E0B">
          <w:pPr>
            <w:pStyle w:val="TOC3"/>
            <w:tabs>
              <w:tab w:val="right" w:leader="dot" w:pos="9912"/>
            </w:tabs>
            <w:rPr>
              <w:rFonts w:asciiTheme="minorHAnsi" w:hAnsiTheme="minorHAnsi" w:cstheme="minorBidi"/>
              <w:noProof/>
              <w:kern w:val="2"/>
              <w:szCs w:val="24"/>
              <w:lang w:val="en-GB" w:eastAsia="en-GB"/>
              <w14:ligatures w14:val="standardContextual"/>
            </w:rPr>
          </w:pPr>
          <w:hyperlink w:anchor="_Toc240133384" w:history="1">
            <w:r w:rsidRPr="007E0617">
              <w:rPr>
                <w:rStyle w:val="Hyperlink"/>
                <w:rFonts w:eastAsiaTheme="minorHAnsi" w:cs="Arial"/>
                <w:b/>
                <w:i/>
                <w:noProof/>
              </w:rPr>
              <w:t>2.3.1 Use-case #1: Water Resilience and Environmental Stewardship</w:t>
            </w:r>
            <w:r>
              <w:rPr>
                <w:noProof/>
                <w:webHidden/>
              </w:rPr>
              <w:tab/>
            </w:r>
            <w:r>
              <w:rPr>
                <w:noProof/>
                <w:webHidden/>
              </w:rPr>
              <w:fldChar w:fldCharType="begin"/>
            </w:r>
            <w:r>
              <w:rPr>
                <w:noProof/>
                <w:webHidden/>
              </w:rPr>
              <w:instrText xml:space="preserve"> PAGEREF _Toc240133384 \h </w:instrText>
            </w:r>
            <w:r>
              <w:rPr>
                <w:noProof/>
                <w:webHidden/>
              </w:rPr>
            </w:r>
            <w:r>
              <w:rPr>
                <w:noProof/>
                <w:webHidden/>
              </w:rPr>
              <w:fldChar w:fldCharType="separate"/>
            </w:r>
            <w:r>
              <w:rPr>
                <w:noProof/>
                <w:webHidden/>
              </w:rPr>
              <w:t>12</w:t>
            </w:r>
            <w:r>
              <w:rPr>
                <w:noProof/>
                <w:webHidden/>
              </w:rPr>
              <w:fldChar w:fldCharType="end"/>
            </w:r>
          </w:hyperlink>
        </w:p>
        <w:p w14:paraId="20773C77" w14:textId="74216A7D" w:rsidR="00905E0B" w:rsidRDefault="00905E0B">
          <w:pPr>
            <w:pStyle w:val="TOC3"/>
            <w:tabs>
              <w:tab w:val="right" w:leader="dot" w:pos="9912"/>
            </w:tabs>
            <w:rPr>
              <w:rFonts w:asciiTheme="minorHAnsi" w:hAnsiTheme="minorHAnsi" w:cstheme="minorBidi"/>
              <w:noProof/>
              <w:kern w:val="2"/>
              <w:szCs w:val="24"/>
              <w:lang w:val="en-GB" w:eastAsia="en-GB"/>
              <w14:ligatures w14:val="standardContextual"/>
            </w:rPr>
          </w:pPr>
          <w:hyperlink w:anchor="_Toc240133385" w:history="1">
            <w:r w:rsidRPr="007E0617">
              <w:rPr>
                <w:rStyle w:val="Hyperlink"/>
                <w:rFonts w:eastAsiaTheme="minorHAnsi" w:cs="Arial"/>
                <w:b/>
                <w:i/>
                <w:noProof/>
              </w:rPr>
              <w:t>2.3.2 Use-case #2: Sustainable Mobility, Logistics and Supply-Chain Intelligence</w:t>
            </w:r>
            <w:r>
              <w:rPr>
                <w:noProof/>
                <w:webHidden/>
              </w:rPr>
              <w:tab/>
            </w:r>
            <w:r>
              <w:rPr>
                <w:noProof/>
                <w:webHidden/>
              </w:rPr>
              <w:fldChar w:fldCharType="begin"/>
            </w:r>
            <w:r>
              <w:rPr>
                <w:noProof/>
                <w:webHidden/>
              </w:rPr>
              <w:instrText xml:space="preserve"> PAGEREF _Toc240133385 \h </w:instrText>
            </w:r>
            <w:r>
              <w:rPr>
                <w:noProof/>
                <w:webHidden/>
              </w:rPr>
            </w:r>
            <w:r>
              <w:rPr>
                <w:noProof/>
                <w:webHidden/>
              </w:rPr>
              <w:fldChar w:fldCharType="separate"/>
            </w:r>
            <w:r>
              <w:rPr>
                <w:noProof/>
                <w:webHidden/>
              </w:rPr>
              <w:t>12</w:t>
            </w:r>
            <w:r>
              <w:rPr>
                <w:noProof/>
                <w:webHidden/>
              </w:rPr>
              <w:fldChar w:fldCharType="end"/>
            </w:r>
          </w:hyperlink>
        </w:p>
        <w:p w14:paraId="19576425" w14:textId="17C6A5FF" w:rsidR="00905E0B" w:rsidRDefault="00905E0B">
          <w:pPr>
            <w:pStyle w:val="TOC3"/>
            <w:tabs>
              <w:tab w:val="right" w:leader="dot" w:pos="9912"/>
            </w:tabs>
            <w:rPr>
              <w:rFonts w:asciiTheme="minorHAnsi" w:hAnsiTheme="minorHAnsi" w:cstheme="minorBidi"/>
              <w:noProof/>
              <w:kern w:val="2"/>
              <w:szCs w:val="24"/>
              <w:lang w:val="en-GB" w:eastAsia="en-GB"/>
              <w14:ligatures w14:val="standardContextual"/>
            </w:rPr>
          </w:pPr>
          <w:hyperlink w:anchor="_Toc240133386" w:history="1">
            <w:r w:rsidRPr="007E0617">
              <w:rPr>
                <w:rStyle w:val="Hyperlink"/>
                <w:rFonts w:eastAsiaTheme="minorHAnsi" w:cs="Arial"/>
                <w:b/>
                <w:i/>
                <w:noProof/>
              </w:rPr>
              <w:t>2.3.3 Use-case #3: Autonomous Sustainability Intelligence</w:t>
            </w:r>
            <w:r>
              <w:rPr>
                <w:noProof/>
                <w:webHidden/>
              </w:rPr>
              <w:tab/>
            </w:r>
            <w:r>
              <w:rPr>
                <w:noProof/>
                <w:webHidden/>
              </w:rPr>
              <w:fldChar w:fldCharType="begin"/>
            </w:r>
            <w:r>
              <w:rPr>
                <w:noProof/>
                <w:webHidden/>
              </w:rPr>
              <w:instrText xml:space="preserve"> PAGEREF _Toc240133386 \h </w:instrText>
            </w:r>
            <w:r>
              <w:rPr>
                <w:noProof/>
                <w:webHidden/>
              </w:rPr>
            </w:r>
            <w:r>
              <w:rPr>
                <w:noProof/>
                <w:webHidden/>
              </w:rPr>
              <w:fldChar w:fldCharType="separate"/>
            </w:r>
            <w:r>
              <w:rPr>
                <w:noProof/>
                <w:webHidden/>
              </w:rPr>
              <w:t>13</w:t>
            </w:r>
            <w:r>
              <w:rPr>
                <w:noProof/>
                <w:webHidden/>
              </w:rPr>
              <w:fldChar w:fldCharType="end"/>
            </w:r>
          </w:hyperlink>
        </w:p>
        <w:p w14:paraId="48A99AC9" w14:textId="7A81C8C8" w:rsidR="00905E0B" w:rsidRDefault="00905E0B">
          <w:pPr>
            <w:pStyle w:val="TOC3"/>
            <w:tabs>
              <w:tab w:val="right" w:leader="dot" w:pos="9912"/>
            </w:tabs>
            <w:rPr>
              <w:rFonts w:asciiTheme="minorHAnsi" w:hAnsiTheme="minorHAnsi" w:cstheme="minorBidi"/>
              <w:noProof/>
              <w:kern w:val="2"/>
              <w:szCs w:val="24"/>
              <w:lang w:val="en-GB" w:eastAsia="en-GB"/>
              <w14:ligatures w14:val="standardContextual"/>
            </w:rPr>
          </w:pPr>
          <w:hyperlink w:anchor="_Toc240133387" w:history="1">
            <w:r w:rsidRPr="007E0617">
              <w:rPr>
                <w:rStyle w:val="Hyperlink"/>
                <w:rFonts w:eastAsiaTheme="minorHAnsi" w:cs="Arial"/>
                <w:b/>
                <w:i/>
                <w:noProof/>
              </w:rPr>
              <w:t>2.3.4 Use-case #4: Digital Twin of a Temporary City</w:t>
            </w:r>
            <w:r>
              <w:rPr>
                <w:noProof/>
                <w:webHidden/>
              </w:rPr>
              <w:tab/>
            </w:r>
            <w:r>
              <w:rPr>
                <w:noProof/>
                <w:webHidden/>
              </w:rPr>
              <w:fldChar w:fldCharType="begin"/>
            </w:r>
            <w:r>
              <w:rPr>
                <w:noProof/>
                <w:webHidden/>
              </w:rPr>
              <w:instrText xml:space="preserve"> PAGEREF _Toc240133387 \h </w:instrText>
            </w:r>
            <w:r>
              <w:rPr>
                <w:noProof/>
                <w:webHidden/>
              </w:rPr>
            </w:r>
            <w:r>
              <w:rPr>
                <w:noProof/>
                <w:webHidden/>
              </w:rPr>
              <w:fldChar w:fldCharType="separate"/>
            </w:r>
            <w:r>
              <w:rPr>
                <w:noProof/>
                <w:webHidden/>
              </w:rPr>
              <w:t>13</w:t>
            </w:r>
            <w:r>
              <w:rPr>
                <w:noProof/>
                <w:webHidden/>
              </w:rPr>
              <w:fldChar w:fldCharType="end"/>
            </w:r>
          </w:hyperlink>
        </w:p>
        <w:p w14:paraId="2DA3E577" w14:textId="0F64F4EC" w:rsidR="00905E0B" w:rsidRDefault="00905E0B">
          <w:pPr>
            <w:pStyle w:val="TOC3"/>
            <w:tabs>
              <w:tab w:val="right" w:leader="dot" w:pos="9912"/>
            </w:tabs>
            <w:rPr>
              <w:rFonts w:asciiTheme="minorHAnsi" w:hAnsiTheme="minorHAnsi" w:cstheme="minorBidi"/>
              <w:noProof/>
              <w:kern w:val="2"/>
              <w:szCs w:val="24"/>
              <w:lang w:val="en-GB" w:eastAsia="en-GB"/>
              <w14:ligatures w14:val="standardContextual"/>
            </w:rPr>
          </w:pPr>
          <w:hyperlink w:anchor="_Toc240133388" w:history="1">
            <w:r w:rsidRPr="007E0617">
              <w:rPr>
                <w:rStyle w:val="Hyperlink"/>
                <w:rFonts w:eastAsiaTheme="minorHAnsi" w:cs="Arial"/>
                <w:b/>
                <w:i/>
                <w:noProof/>
              </w:rPr>
              <w:t>2.3.5 Use-case #5: Extended Reality and Immersive Event Experiences</w:t>
            </w:r>
            <w:r>
              <w:rPr>
                <w:noProof/>
                <w:webHidden/>
              </w:rPr>
              <w:tab/>
            </w:r>
            <w:r>
              <w:rPr>
                <w:noProof/>
                <w:webHidden/>
              </w:rPr>
              <w:fldChar w:fldCharType="begin"/>
            </w:r>
            <w:r>
              <w:rPr>
                <w:noProof/>
                <w:webHidden/>
              </w:rPr>
              <w:instrText xml:space="preserve"> PAGEREF _Toc240133388 \h </w:instrText>
            </w:r>
            <w:r>
              <w:rPr>
                <w:noProof/>
                <w:webHidden/>
              </w:rPr>
            </w:r>
            <w:r>
              <w:rPr>
                <w:noProof/>
                <w:webHidden/>
              </w:rPr>
              <w:fldChar w:fldCharType="separate"/>
            </w:r>
            <w:r>
              <w:rPr>
                <w:noProof/>
                <w:webHidden/>
              </w:rPr>
              <w:t>14</w:t>
            </w:r>
            <w:r>
              <w:rPr>
                <w:noProof/>
                <w:webHidden/>
              </w:rPr>
              <w:fldChar w:fldCharType="end"/>
            </w:r>
          </w:hyperlink>
        </w:p>
        <w:p w14:paraId="03A6D4E9" w14:textId="48534BF8" w:rsidR="00905E0B" w:rsidRDefault="00905E0B">
          <w:pPr>
            <w:pStyle w:val="TOC2"/>
            <w:rPr>
              <w:rFonts w:asciiTheme="minorHAnsi" w:hAnsiTheme="minorHAnsi" w:cstheme="minorBidi"/>
              <w:noProof/>
              <w:kern w:val="2"/>
              <w:szCs w:val="24"/>
              <w:lang w:val="en-GB" w:eastAsia="en-GB"/>
              <w14:ligatures w14:val="standardContextual"/>
            </w:rPr>
          </w:pPr>
          <w:hyperlink w:anchor="_Toc240133389" w:history="1">
            <w:r w:rsidRPr="007E0617">
              <w:rPr>
                <w:rStyle w:val="Hyperlink"/>
                <w:noProof/>
              </w:rPr>
              <w:t>2.4 Procter &amp; Gamble</w:t>
            </w:r>
            <w:r>
              <w:rPr>
                <w:noProof/>
                <w:webHidden/>
              </w:rPr>
              <w:tab/>
            </w:r>
            <w:r>
              <w:rPr>
                <w:noProof/>
                <w:webHidden/>
              </w:rPr>
              <w:fldChar w:fldCharType="begin"/>
            </w:r>
            <w:r>
              <w:rPr>
                <w:noProof/>
                <w:webHidden/>
              </w:rPr>
              <w:instrText xml:space="preserve"> PAGEREF _Toc240133389 \h </w:instrText>
            </w:r>
            <w:r>
              <w:rPr>
                <w:noProof/>
                <w:webHidden/>
              </w:rPr>
            </w:r>
            <w:r>
              <w:rPr>
                <w:noProof/>
                <w:webHidden/>
              </w:rPr>
              <w:fldChar w:fldCharType="separate"/>
            </w:r>
            <w:r>
              <w:rPr>
                <w:noProof/>
                <w:webHidden/>
              </w:rPr>
              <w:t>14</w:t>
            </w:r>
            <w:r>
              <w:rPr>
                <w:noProof/>
                <w:webHidden/>
              </w:rPr>
              <w:fldChar w:fldCharType="end"/>
            </w:r>
          </w:hyperlink>
        </w:p>
        <w:p w14:paraId="3242977B" w14:textId="27C8E305" w:rsidR="00905E0B" w:rsidRDefault="00905E0B">
          <w:pPr>
            <w:pStyle w:val="TOC3"/>
            <w:tabs>
              <w:tab w:val="right" w:leader="dot" w:pos="9912"/>
            </w:tabs>
            <w:rPr>
              <w:rFonts w:asciiTheme="minorHAnsi" w:hAnsiTheme="minorHAnsi" w:cstheme="minorBidi"/>
              <w:noProof/>
              <w:kern w:val="2"/>
              <w:szCs w:val="24"/>
              <w:lang w:val="en-GB" w:eastAsia="en-GB"/>
              <w14:ligatures w14:val="standardContextual"/>
            </w:rPr>
          </w:pPr>
          <w:hyperlink w:anchor="_Toc240133390" w:history="1">
            <w:r w:rsidRPr="007E0617">
              <w:rPr>
                <w:rStyle w:val="Hyperlink"/>
                <w:rFonts w:eastAsiaTheme="minorHAnsi" w:cs="Arial"/>
                <w:b/>
                <w:i/>
                <w:noProof/>
              </w:rPr>
              <w:t>2.4.1 Use-case #1: Longitudinal Consumer Experience Intelligence</w:t>
            </w:r>
            <w:r>
              <w:rPr>
                <w:noProof/>
                <w:webHidden/>
              </w:rPr>
              <w:tab/>
            </w:r>
            <w:r>
              <w:rPr>
                <w:noProof/>
                <w:webHidden/>
              </w:rPr>
              <w:fldChar w:fldCharType="begin"/>
            </w:r>
            <w:r>
              <w:rPr>
                <w:noProof/>
                <w:webHidden/>
              </w:rPr>
              <w:instrText xml:space="preserve"> PAGEREF _Toc240133390 \h </w:instrText>
            </w:r>
            <w:r>
              <w:rPr>
                <w:noProof/>
                <w:webHidden/>
              </w:rPr>
            </w:r>
            <w:r>
              <w:rPr>
                <w:noProof/>
                <w:webHidden/>
              </w:rPr>
              <w:fldChar w:fldCharType="separate"/>
            </w:r>
            <w:r>
              <w:rPr>
                <w:noProof/>
                <w:webHidden/>
              </w:rPr>
              <w:t>14</w:t>
            </w:r>
            <w:r>
              <w:rPr>
                <w:noProof/>
                <w:webHidden/>
              </w:rPr>
              <w:fldChar w:fldCharType="end"/>
            </w:r>
          </w:hyperlink>
        </w:p>
        <w:p w14:paraId="6D3D1FDE" w14:textId="71A05014" w:rsidR="00905E0B" w:rsidRDefault="00905E0B">
          <w:pPr>
            <w:pStyle w:val="TOC3"/>
            <w:tabs>
              <w:tab w:val="right" w:leader="dot" w:pos="9912"/>
            </w:tabs>
            <w:rPr>
              <w:rFonts w:asciiTheme="minorHAnsi" w:hAnsiTheme="minorHAnsi" w:cstheme="minorBidi"/>
              <w:noProof/>
              <w:kern w:val="2"/>
              <w:szCs w:val="24"/>
              <w:lang w:val="en-GB" w:eastAsia="en-GB"/>
              <w14:ligatures w14:val="standardContextual"/>
            </w:rPr>
          </w:pPr>
          <w:hyperlink w:anchor="_Toc240133397" w:history="1">
            <w:r w:rsidRPr="007E0617">
              <w:rPr>
                <w:rStyle w:val="Hyperlink"/>
                <w:rFonts w:eastAsiaTheme="minorHAnsi" w:cs="Arial"/>
                <w:b/>
                <w:i/>
                <w:noProof/>
              </w:rPr>
              <w:t>2.4.2 Use-case #2: Bio-Concentration and Resource-Efficient Recovery of Actives</w:t>
            </w:r>
            <w:r>
              <w:rPr>
                <w:noProof/>
                <w:webHidden/>
              </w:rPr>
              <w:tab/>
            </w:r>
            <w:r>
              <w:rPr>
                <w:noProof/>
                <w:webHidden/>
              </w:rPr>
              <w:fldChar w:fldCharType="begin"/>
            </w:r>
            <w:r>
              <w:rPr>
                <w:noProof/>
                <w:webHidden/>
              </w:rPr>
              <w:instrText xml:space="preserve"> PAGEREF _Toc240133397 \h </w:instrText>
            </w:r>
            <w:r>
              <w:rPr>
                <w:noProof/>
                <w:webHidden/>
              </w:rPr>
            </w:r>
            <w:r>
              <w:rPr>
                <w:noProof/>
                <w:webHidden/>
              </w:rPr>
              <w:fldChar w:fldCharType="separate"/>
            </w:r>
            <w:r>
              <w:rPr>
                <w:noProof/>
                <w:webHidden/>
              </w:rPr>
              <w:t>17</w:t>
            </w:r>
            <w:r>
              <w:rPr>
                <w:noProof/>
                <w:webHidden/>
              </w:rPr>
              <w:fldChar w:fldCharType="end"/>
            </w:r>
          </w:hyperlink>
        </w:p>
        <w:p w14:paraId="162959F5" w14:textId="41AC337E" w:rsidR="00120261" w:rsidRPr="00921FBE" w:rsidRDefault="00120261">
          <w:pPr>
            <w:rPr>
              <w:rFonts w:cs="Arial"/>
            </w:rPr>
          </w:pPr>
          <w:r w:rsidRPr="00921FBE">
            <w:rPr>
              <w:rFonts w:cs="Arial"/>
              <w:b/>
              <w:bCs/>
              <w:noProof/>
            </w:rPr>
            <w:fldChar w:fldCharType="end"/>
          </w:r>
        </w:p>
      </w:sdtContent>
    </w:sdt>
    <w:p w14:paraId="44310C26" w14:textId="77E5AFC6" w:rsidR="00AE08EF" w:rsidRPr="00921FBE" w:rsidRDefault="00AE08EF">
      <w:pPr>
        <w:rPr>
          <w:rFonts w:cs="Arial"/>
          <w:szCs w:val="24"/>
        </w:rPr>
      </w:pPr>
      <w:r w:rsidRPr="00921FBE">
        <w:rPr>
          <w:rFonts w:cs="Arial"/>
        </w:rPr>
        <w:br w:type="page"/>
      </w:r>
    </w:p>
    <w:p w14:paraId="3CC19462" w14:textId="765C3AC5" w:rsidR="00327D08" w:rsidRPr="00921FBE" w:rsidRDefault="003568FF" w:rsidP="00F862F0">
      <w:pPr>
        <w:pStyle w:val="Heading01"/>
      </w:pPr>
      <w:r w:rsidRPr="00921FBE">
        <w:rPr>
          <w:color w:val="auto"/>
        </w:rPr>
        <w:lastRenderedPageBreak/>
        <w:t xml:space="preserve"> </w:t>
      </w:r>
      <w:bookmarkStart w:id="0" w:name="_Toc240133372"/>
      <w:r w:rsidR="006A38CD" w:rsidRPr="00921FBE">
        <w:t>I</w:t>
      </w:r>
      <w:r w:rsidR="00CD1253" w:rsidRPr="00921FBE">
        <w:t>ntroduction</w:t>
      </w:r>
      <w:bookmarkEnd w:id="0"/>
    </w:p>
    <w:p w14:paraId="34602CFA" w14:textId="77777777" w:rsidR="00327D08" w:rsidRPr="00905E0B" w:rsidRDefault="00327D08" w:rsidP="00612357">
      <w:pPr>
        <w:pStyle w:val="Body"/>
        <w:spacing w:line="240" w:lineRule="auto"/>
        <w:jc w:val="left"/>
        <w:rPr>
          <w:color w:val="auto"/>
          <w:szCs w:val="22"/>
        </w:rPr>
      </w:pPr>
    </w:p>
    <w:p w14:paraId="3AAF4539" w14:textId="77777777" w:rsidR="00905E0B" w:rsidRPr="00905E0B" w:rsidRDefault="00905E0B" w:rsidP="00905E0B">
      <w:pPr>
        <w:pStyle w:val="Body"/>
        <w:spacing w:line="240" w:lineRule="auto"/>
        <w:rPr>
          <w:color w:val="auto"/>
          <w:szCs w:val="22"/>
        </w:rPr>
      </w:pPr>
      <w:r w:rsidRPr="00905E0B">
        <w:rPr>
          <w:color w:val="auto"/>
          <w:szCs w:val="22"/>
        </w:rPr>
        <w:t>This document outlines the challenges to be addressed under the Space for Sustainable Industry and Digital Business Transformation Contest.</w:t>
      </w:r>
    </w:p>
    <w:p w14:paraId="70FF74A5" w14:textId="77777777" w:rsidR="00905E0B" w:rsidRPr="00905E0B" w:rsidRDefault="00905E0B" w:rsidP="00905E0B">
      <w:pPr>
        <w:pStyle w:val="Body"/>
        <w:spacing w:line="240" w:lineRule="auto"/>
        <w:rPr>
          <w:b/>
          <w:bCs/>
          <w:color w:val="auto"/>
          <w:szCs w:val="22"/>
        </w:rPr>
      </w:pPr>
      <w:r w:rsidRPr="00905E0B">
        <w:rPr>
          <w:color w:val="auto"/>
          <w:szCs w:val="22"/>
        </w:rPr>
        <w:t xml:space="preserve">The challenges presented have been developed through collaboration between the European Space Agency (ESA) and the participating Challenge Owners: </w:t>
      </w:r>
      <w:r w:rsidRPr="00905E0B">
        <w:rPr>
          <w:b/>
          <w:bCs/>
          <w:color w:val="auto"/>
          <w:szCs w:val="22"/>
        </w:rPr>
        <w:t>Galp, The Coca-Cola Company, The Procter &amp; Gamble Company, and Love Tomorrow.</w:t>
      </w:r>
    </w:p>
    <w:p w14:paraId="132ACF16" w14:textId="77777777" w:rsidR="00905E0B" w:rsidRDefault="00905E0B" w:rsidP="00905E0B">
      <w:pPr>
        <w:pStyle w:val="Body"/>
        <w:spacing w:line="240" w:lineRule="auto"/>
        <w:rPr>
          <w:color w:val="auto"/>
          <w:szCs w:val="22"/>
        </w:rPr>
      </w:pPr>
      <w:r w:rsidRPr="00905E0B">
        <w:rPr>
          <w:color w:val="auto"/>
          <w:szCs w:val="22"/>
        </w:rPr>
        <w:t>The Contest aims to foster the development and validation of innovative services that leverage space assets and technologies to address real-world business and operational challenges. Through the implementation of Proof of Concept (PoC) studies, participants will have the opportunity to demonstrate the technical feasibility, user relevance and commercial potential of their proposed solutions.</w:t>
      </w:r>
    </w:p>
    <w:p w14:paraId="53135AFD" w14:textId="77777777" w:rsidR="00905E0B" w:rsidRDefault="00905E0B" w:rsidP="00905E0B">
      <w:pPr>
        <w:pStyle w:val="Body"/>
        <w:spacing w:line="240" w:lineRule="auto"/>
        <w:rPr>
          <w:color w:val="auto"/>
          <w:szCs w:val="22"/>
        </w:rPr>
      </w:pPr>
    </w:p>
    <w:p w14:paraId="28A478EB" w14:textId="532B04DE" w:rsidR="00905E0B" w:rsidRPr="00905E0B" w:rsidRDefault="00905E0B" w:rsidP="00905E0B">
      <w:pPr>
        <w:pStyle w:val="Heading01"/>
      </w:pPr>
      <w:bookmarkStart w:id="1" w:name="_Toc240133373"/>
      <w:r w:rsidRPr="00921FBE">
        <w:t>Use Cases</w:t>
      </w:r>
      <w:bookmarkEnd w:id="1"/>
    </w:p>
    <w:p w14:paraId="4891D346" w14:textId="3E34534C" w:rsidR="00905E0B" w:rsidRPr="00905E0B" w:rsidRDefault="00905E0B" w:rsidP="00905E0B">
      <w:pPr>
        <w:pStyle w:val="Body"/>
        <w:spacing w:line="240" w:lineRule="auto"/>
      </w:pPr>
      <w:r>
        <w:t xml:space="preserve">The European Space Agency (ESA) and the participating Challenge Owners have identified </w:t>
      </w:r>
      <w:proofErr w:type="gramStart"/>
      <w:r>
        <w:t>a number of</w:t>
      </w:r>
      <w:proofErr w:type="gramEnd"/>
      <w:r>
        <w:t xml:space="preserve"> challenge areas where space-enabled solutions may provide significant benefits. Potential bidders responding to this Contest are invited to select </w:t>
      </w:r>
      <w:r w:rsidRPr="75BA456D">
        <w:rPr>
          <w:b/>
          <w:bCs/>
        </w:rPr>
        <w:t xml:space="preserve">one </w:t>
      </w:r>
      <w:r w:rsidR="3B69A943" w:rsidRPr="75BA456D">
        <w:rPr>
          <w:b/>
          <w:bCs/>
        </w:rPr>
        <w:t>challenge and</w:t>
      </w:r>
      <w:r>
        <w:t xml:space="preserve"> submit a proposal describing how their proposed service and Proof of Concept would address the identified need.</w:t>
      </w:r>
    </w:p>
    <w:p w14:paraId="1D630131" w14:textId="77777777" w:rsidR="00905E0B" w:rsidRPr="00905E0B" w:rsidRDefault="00905E0B" w:rsidP="00905E0B">
      <w:pPr>
        <w:pStyle w:val="Body"/>
        <w:spacing w:line="240" w:lineRule="auto"/>
      </w:pPr>
      <w:r w:rsidRPr="00905E0B">
        <w:t>The challenges are intended to provide operational context and validation opportunities for the proposed activities. Applicants shall base their proposals on the information provided in this document and are not expected to obtain additional information from the Challenge Owners during the bidding period.</w:t>
      </w:r>
    </w:p>
    <w:p w14:paraId="3B387F6A" w14:textId="77777777" w:rsidR="00905E0B" w:rsidRPr="00921FBE" w:rsidRDefault="00905E0B" w:rsidP="001F7505">
      <w:pPr>
        <w:spacing w:after="0" w:line="360" w:lineRule="auto"/>
        <w:jc w:val="both"/>
        <w:rPr>
          <w:rFonts w:cs="Arial"/>
        </w:rPr>
      </w:pPr>
    </w:p>
    <w:p w14:paraId="53FECBEC" w14:textId="504B92F1" w:rsidR="00C97349" w:rsidRPr="00631F5B" w:rsidRDefault="00C97349" w:rsidP="00631F5B">
      <w:pPr>
        <w:pStyle w:val="Heading02"/>
        <w:numPr>
          <w:ilvl w:val="0"/>
          <w:numId w:val="0"/>
        </w:numPr>
        <w:ind w:left="471" w:hanging="471"/>
      </w:pPr>
      <w:bookmarkStart w:id="2" w:name="_Toc240133374"/>
      <w:r w:rsidRPr="00921FBE">
        <w:t xml:space="preserve">2.1 </w:t>
      </w:r>
      <w:r w:rsidR="0099600E" w:rsidRPr="00921FBE">
        <w:t>The Coca-Cola Company</w:t>
      </w:r>
      <w:r w:rsidRPr="00921FBE">
        <w:t xml:space="preserve"> (</w:t>
      </w:r>
      <w:r w:rsidR="0099600E" w:rsidRPr="00921FBE">
        <w:t>TCCC</w:t>
      </w:r>
      <w:r w:rsidRPr="00921FBE">
        <w:t>)</w:t>
      </w:r>
      <w:bookmarkEnd w:id="2"/>
    </w:p>
    <w:p w14:paraId="286B69BD" w14:textId="2B758854" w:rsidR="00C97349" w:rsidRPr="00921FBE" w:rsidRDefault="00C97349" w:rsidP="00C97349">
      <w:pPr>
        <w:pStyle w:val="Heading3"/>
        <w:rPr>
          <w:rFonts w:ascii="Arial" w:eastAsiaTheme="minorHAnsi" w:hAnsi="Arial" w:cs="Arial"/>
          <w:b/>
          <w:i/>
          <w:color w:val="44546A" w:themeColor="text2"/>
          <w:sz w:val="26"/>
          <w:szCs w:val="26"/>
        </w:rPr>
      </w:pPr>
      <w:bookmarkStart w:id="3" w:name="_Toc240133375"/>
      <w:r w:rsidRPr="00921FBE">
        <w:rPr>
          <w:rFonts w:ascii="Arial" w:eastAsiaTheme="minorHAnsi" w:hAnsi="Arial" w:cs="Arial"/>
          <w:b/>
          <w:i/>
          <w:color w:val="44546A" w:themeColor="text2"/>
          <w:sz w:val="26"/>
          <w:szCs w:val="26"/>
        </w:rPr>
        <w:t xml:space="preserve">2.1.1 Use-case #1: </w:t>
      </w:r>
      <w:r w:rsidR="0099600E" w:rsidRPr="00921FBE">
        <w:rPr>
          <w:rFonts w:ascii="Arial" w:eastAsiaTheme="minorHAnsi" w:hAnsi="Arial" w:cs="Arial"/>
          <w:b/>
          <w:i/>
          <w:color w:val="44546A" w:themeColor="text2"/>
          <w:sz w:val="26"/>
          <w:szCs w:val="26"/>
        </w:rPr>
        <w:t>Enhancing Water Risk Intelligence for the Coca-Cola System in the Rio Grande Basin</w:t>
      </w:r>
      <w:bookmarkEnd w:id="3"/>
    </w:p>
    <w:p w14:paraId="1BEC4830" w14:textId="77777777" w:rsidR="0099600E" w:rsidRPr="00921FBE" w:rsidRDefault="0099600E" w:rsidP="0099600E">
      <w:pPr>
        <w:rPr>
          <w:rFonts w:cs="Arial"/>
          <w:b/>
          <w:bCs/>
        </w:rPr>
      </w:pPr>
    </w:p>
    <w:p w14:paraId="13A08A76" w14:textId="21D8F99A" w:rsidR="0099600E" w:rsidRPr="00921FBE" w:rsidRDefault="0099600E" w:rsidP="0099600E">
      <w:pPr>
        <w:rPr>
          <w:rFonts w:cs="Arial"/>
          <w:b/>
          <w:bCs/>
        </w:rPr>
      </w:pPr>
      <w:r w:rsidRPr="00921FBE">
        <w:rPr>
          <w:rFonts w:cs="Arial"/>
          <w:b/>
          <w:bCs/>
        </w:rPr>
        <w:t>Background</w:t>
      </w:r>
    </w:p>
    <w:p w14:paraId="10EC9A26" w14:textId="77777777" w:rsidR="0099600E" w:rsidRPr="00921FBE" w:rsidRDefault="0099600E" w:rsidP="0099600E">
      <w:pPr>
        <w:rPr>
          <w:rFonts w:cs="Arial"/>
        </w:rPr>
      </w:pPr>
      <w:r w:rsidRPr="00921FBE">
        <w:rPr>
          <w:rFonts w:cs="Arial"/>
        </w:rPr>
        <w:t>The Rio Grande Basin is one of the most water-stressed and strategically important watersheds for the Coca-Cola system. The basin supports Coca-Cola operations, local communities, and ecosystems across both the United States and Mexico. Increasing pressures from drought, climate change, groundwater depletion, land-use change, and growing water demand are creating significant risks for long-term water security.</w:t>
      </w:r>
    </w:p>
    <w:p w14:paraId="5FE27001" w14:textId="77777777" w:rsidR="0099600E" w:rsidRPr="00921FBE" w:rsidRDefault="0099600E" w:rsidP="0099600E">
      <w:pPr>
        <w:rPr>
          <w:rFonts w:cs="Arial"/>
        </w:rPr>
      </w:pPr>
      <w:r w:rsidRPr="00921FBE">
        <w:rPr>
          <w:rFonts w:cs="Arial"/>
        </w:rPr>
        <w:t>To support its water stewardship strategy, the Coca-Cola system requires more granular, forward-looking, and continuously updated basin intelligence to better understand water-related risks, identify emerging hotspots, prioritize collective action opportunities, and guide investments in watershed resilience.</w:t>
      </w:r>
    </w:p>
    <w:p w14:paraId="0CEFCC27" w14:textId="77777777" w:rsidR="0099600E" w:rsidRPr="00921FBE" w:rsidRDefault="0099600E" w:rsidP="0099600E">
      <w:pPr>
        <w:rPr>
          <w:rFonts w:cs="Arial"/>
        </w:rPr>
      </w:pPr>
      <w:r w:rsidRPr="00921FBE">
        <w:rPr>
          <w:rFonts w:cs="Arial"/>
        </w:rPr>
        <w:lastRenderedPageBreak/>
        <w:t>While a wide range of hydrological and climate datasets exists, there remains an opportunity to leverage Earth Observation, AI, and predictive analytics to create a more comprehensive understanding of basin conditions and future water security risks relevant to Coca-Cola operations and agricultural value chains.</w:t>
      </w:r>
    </w:p>
    <w:p w14:paraId="6677BC52" w14:textId="77777777" w:rsidR="0099600E" w:rsidRPr="00921FBE" w:rsidRDefault="0099600E" w:rsidP="0099600E">
      <w:pPr>
        <w:rPr>
          <w:rFonts w:cs="Arial"/>
          <w:b/>
          <w:bCs/>
        </w:rPr>
      </w:pPr>
      <w:r w:rsidRPr="00921FBE">
        <w:rPr>
          <w:rFonts w:cs="Arial"/>
          <w:b/>
          <w:bCs/>
        </w:rPr>
        <w:t>Challenge Statement</w:t>
      </w:r>
    </w:p>
    <w:p w14:paraId="1A8092EC" w14:textId="77777777" w:rsidR="0099600E" w:rsidRPr="00921FBE" w:rsidRDefault="0099600E" w:rsidP="0099600E">
      <w:pPr>
        <w:rPr>
          <w:rFonts w:cs="Arial"/>
        </w:rPr>
      </w:pPr>
      <w:r w:rsidRPr="00921FBE">
        <w:rPr>
          <w:rFonts w:cs="Arial"/>
        </w:rPr>
        <w:t>Develop an Earth Observation-enabled solution that improves basin risk assessment for the Rio Grande Basin and provides actionable intelligence for the Coca-Cola system.</w:t>
      </w:r>
    </w:p>
    <w:p w14:paraId="5191283F" w14:textId="77777777" w:rsidR="0099600E" w:rsidRPr="00921FBE" w:rsidRDefault="0099600E" w:rsidP="0099600E">
      <w:pPr>
        <w:rPr>
          <w:rFonts w:cs="Arial"/>
        </w:rPr>
      </w:pPr>
      <w:r w:rsidRPr="00921FBE">
        <w:rPr>
          <w:rFonts w:cs="Arial"/>
        </w:rPr>
        <w:t>The solution should integrate satellite observations, climate data, hydrological information, agricultural indicators, and socioeconomic datasets to assess water-related risks to:</w:t>
      </w:r>
    </w:p>
    <w:p w14:paraId="48C1E1C9" w14:textId="77777777" w:rsidR="0099600E" w:rsidRPr="00921FBE" w:rsidRDefault="0099600E" w:rsidP="00CB272F">
      <w:pPr>
        <w:numPr>
          <w:ilvl w:val="0"/>
          <w:numId w:val="7"/>
        </w:numPr>
        <w:spacing w:line="278" w:lineRule="auto"/>
        <w:rPr>
          <w:rFonts w:cs="Arial"/>
        </w:rPr>
      </w:pPr>
      <w:r w:rsidRPr="00921FBE">
        <w:rPr>
          <w:rFonts w:cs="Arial"/>
        </w:rPr>
        <w:t>Coca-Cola manufacturing facilities</w:t>
      </w:r>
    </w:p>
    <w:p w14:paraId="50FFC13F" w14:textId="77777777" w:rsidR="0099600E" w:rsidRPr="00921FBE" w:rsidRDefault="0099600E" w:rsidP="00CB272F">
      <w:pPr>
        <w:numPr>
          <w:ilvl w:val="0"/>
          <w:numId w:val="7"/>
        </w:numPr>
        <w:spacing w:line="278" w:lineRule="auto"/>
        <w:rPr>
          <w:rFonts w:cs="Arial"/>
        </w:rPr>
      </w:pPr>
      <w:r w:rsidRPr="00921FBE">
        <w:rPr>
          <w:rFonts w:cs="Arial"/>
        </w:rPr>
        <w:t>Communities within priority watersheds</w:t>
      </w:r>
    </w:p>
    <w:p w14:paraId="7EA576EF" w14:textId="77777777" w:rsidR="0099600E" w:rsidRPr="00921FBE" w:rsidRDefault="0099600E" w:rsidP="00CB272F">
      <w:pPr>
        <w:numPr>
          <w:ilvl w:val="0"/>
          <w:numId w:val="7"/>
        </w:numPr>
        <w:spacing w:line="278" w:lineRule="auto"/>
        <w:rPr>
          <w:rFonts w:cs="Arial"/>
        </w:rPr>
      </w:pPr>
      <w:r w:rsidRPr="00921FBE">
        <w:rPr>
          <w:rFonts w:cs="Arial"/>
        </w:rPr>
        <w:t>Ecosystems that support long-term water security</w:t>
      </w:r>
    </w:p>
    <w:p w14:paraId="2CD0A1FE" w14:textId="77777777" w:rsidR="0099600E" w:rsidRPr="00921FBE" w:rsidRDefault="0099600E" w:rsidP="0099600E">
      <w:pPr>
        <w:rPr>
          <w:rFonts w:cs="Arial"/>
        </w:rPr>
      </w:pPr>
      <w:r w:rsidRPr="00921FBE">
        <w:rPr>
          <w:rFonts w:cs="Arial"/>
        </w:rPr>
        <w:t>The solution should help answer three key questions:</w:t>
      </w:r>
    </w:p>
    <w:p w14:paraId="5AE347CB" w14:textId="77777777" w:rsidR="0099600E" w:rsidRPr="00921FBE" w:rsidRDefault="0099600E" w:rsidP="00CB272F">
      <w:pPr>
        <w:numPr>
          <w:ilvl w:val="0"/>
          <w:numId w:val="8"/>
        </w:numPr>
        <w:spacing w:line="278" w:lineRule="auto"/>
        <w:rPr>
          <w:rFonts w:cs="Arial"/>
        </w:rPr>
      </w:pPr>
      <w:r w:rsidRPr="00921FBE">
        <w:rPr>
          <w:rFonts w:cs="Arial"/>
          <w:b/>
          <w:bCs/>
        </w:rPr>
        <w:t>Where are the greatest water security risks today?</w:t>
      </w:r>
    </w:p>
    <w:p w14:paraId="5C460B44" w14:textId="77777777" w:rsidR="0099600E" w:rsidRPr="00921FBE" w:rsidRDefault="0099600E" w:rsidP="00CB272F">
      <w:pPr>
        <w:numPr>
          <w:ilvl w:val="0"/>
          <w:numId w:val="8"/>
        </w:numPr>
        <w:spacing w:line="278" w:lineRule="auto"/>
        <w:rPr>
          <w:rFonts w:cs="Arial"/>
        </w:rPr>
      </w:pPr>
      <w:r w:rsidRPr="00921FBE">
        <w:rPr>
          <w:rFonts w:cs="Arial"/>
          <w:b/>
          <w:bCs/>
        </w:rPr>
        <w:t>How are these risks expected to evolve through 2030 and 2050?</w:t>
      </w:r>
    </w:p>
    <w:p w14:paraId="062B055A" w14:textId="77777777" w:rsidR="0099600E" w:rsidRPr="00921FBE" w:rsidRDefault="0099600E" w:rsidP="00CB272F">
      <w:pPr>
        <w:numPr>
          <w:ilvl w:val="0"/>
          <w:numId w:val="8"/>
        </w:numPr>
        <w:spacing w:line="278" w:lineRule="auto"/>
        <w:rPr>
          <w:rFonts w:cs="Arial"/>
        </w:rPr>
      </w:pPr>
      <w:r w:rsidRPr="00921FBE">
        <w:rPr>
          <w:rFonts w:cs="Arial"/>
          <w:b/>
          <w:bCs/>
        </w:rPr>
        <w:t>Where should the Coca-Cola system prioritize collective action and water resilience investments?</w:t>
      </w:r>
    </w:p>
    <w:p w14:paraId="3B78F269" w14:textId="77777777" w:rsidR="0099600E" w:rsidRPr="00921FBE" w:rsidRDefault="0099600E" w:rsidP="0099600E">
      <w:pPr>
        <w:rPr>
          <w:rFonts w:cs="Arial"/>
          <w:b/>
          <w:bCs/>
        </w:rPr>
      </w:pPr>
    </w:p>
    <w:p w14:paraId="29F88023" w14:textId="77777777" w:rsidR="0099600E" w:rsidRPr="00921FBE" w:rsidRDefault="0099600E" w:rsidP="0099600E">
      <w:pPr>
        <w:rPr>
          <w:rFonts w:cs="Arial"/>
          <w:b/>
          <w:bCs/>
        </w:rPr>
      </w:pPr>
      <w:r w:rsidRPr="00921FBE">
        <w:rPr>
          <w:rFonts w:cs="Arial"/>
          <w:b/>
          <w:bCs/>
        </w:rPr>
        <w:t>The Task</w:t>
      </w:r>
    </w:p>
    <w:p w14:paraId="3D5877F6" w14:textId="77777777" w:rsidR="0099600E" w:rsidRPr="00921FBE" w:rsidRDefault="0099600E" w:rsidP="0099600E">
      <w:pPr>
        <w:rPr>
          <w:rFonts w:cs="Arial"/>
        </w:rPr>
      </w:pPr>
      <w:r w:rsidRPr="00921FBE">
        <w:rPr>
          <w:rFonts w:cs="Arial"/>
        </w:rPr>
        <w:t>Participants are invited to develop a scalable platform, methodology, or digital decision-support tool capable of the following:</w:t>
      </w:r>
    </w:p>
    <w:p w14:paraId="05FEE985" w14:textId="77777777" w:rsidR="0099600E" w:rsidRPr="00921FBE" w:rsidRDefault="0099600E" w:rsidP="0099600E">
      <w:pPr>
        <w:rPr>
          <w:rFonts w:cs="Arial"/>
          <w:b/>
          <w:bCs/>
        </w:rPr>
      </w:pPr>
      <w:r w:rsidRPr="00921FBE">
        <w:rPr>
          <w:rFonts w:cs="Arial"/>
          <w:b/>
          <w:bCs/>
        </w:rPr>
        <w:t>1. Assess Current Basin Conditions</w:t>
      </w:r>
    </w:p>
    <w:p w14:paraId="1F513BEE" w14:textId="77777777" w:rsidR="0099600E" w:rsidRPr="00921FBE" w:rsidRDefault="0099600E" w:rsidP="0099600E">
      <w:pPr>
        <w:rPr>
          <w:rFonts w:cs="Arial"/>
        </w:rPr>
      </w:pPr>
      <w:r w:rsidRPr="00921FBE">
        <w:rPr>
          <w:rFonts w:cs="Arial"/>
        </w:rPr>
        <w:t>Create a basin-wide assessment of current watershed conditions using Earth Observation data and other relevant datasets.</w:t>
      </w:r>
    </w:p>
    <w:p w14:paraId="0A74DE2C" w14:textId="77777777" w:rsidR="0099600E" w:rsidRPr="00921FBE" w:rsidRDefault="0099600E" w:rsidP="0099600E">
      <w:pPr>
        <w:rPr>
          <w:rFonts w:cs="Arial"/>
        </w:rPr>
      </w:pPr>
      <w:r w:rsidRPr="00921FBE">
        <w:rPr>
          <w:rFonts w:cs="Arial"/>
        </w:rPr>
        <w:t>Key indicators may include:</w:t>
      </w:r>
    </w:p>
    <w:p w14:paraId="407C071D" w14:textId="77777777" w:rsidR="0099600E" w:rsidRPr="00921FBE" w:rsidRDefault="0099600E" w:rsidP="00CB272F">
      <w:pPr>
        <w:numPr>
          <w:ilvl w:val="0"/>
          <w:numId w:val="17"/>
        </w:numPr>
        <w:spacing w:line="278" w:lineRule="auto"/>
        <w:rPr>
          <w:rFonts w:cs="Arial"/>
        </w:rPr>
      </w:pPr>
      <w:r w:rsidRPr="00921FBE">
        <w:rPr>
          <w:rFonts w:cs="Arial"/>
        </w:rPr>
        <w:t>Surface water availability</w:t>
      </w:r>
    </w:p>
    <w:p w14:paraId="7129C829" w14:textId="77777777" w:rsidR="0099600E" w:rsidRPr="00921FBE" w:rsidRDefault="0099600E" w:rsidP="00CB272F">
      <w:pPr>
        <w:numPr>
          <w:ilvl w:val="0"/>
          <w:numId w:val="17"/>
        </w:numPr>
        <w:spacing w:line="278" w:lineRule="auto"/>
        <w:rPr>
          <w:rFonts w:cs="Arial"/>
        </w:rPr>
      </w:pPr>
      <w:r w:rsidRPr="00921FBE">
        <w:rPr>
          <w:rFonts w:cs="Arial"/>
        </w:rPr>
        <w:t>Reservoir and river conditions</w:t>
      </w:r>
    </w:p>
    <w:p w14:paraId="6AF0CAEC" w14:textId="77777777" w:rsidR="0099600E" w:rsidRPr="00921FBE" w:rsidRDefault="0099600E" w:rsidP="00CB272F">
      <w:pPr>
        <w:numPr>
          <w:ilvl w:val="0"/>
          <w:numId w:val="17"/>
        </w:numPr>
        <w:spacing w:line="278" w:lineRule="auto"/>
        <w:rPr>
          <w:rFonts w:cs="Arial"/>
        </w:rPr>
      </w:pPr>
      <w:r w:rsidRPr="00921FBE">
        <w:rPr>
          <w:rFonts w:cs="Arial"/>
        </w:rPr>
        <w:t>Groundwater stress indicators</w:t>
      </w:r>
    </w:p>
    <w:p w14:paraId="32A5ADA8" w14:textId="77777777" w:rsidR="0099600E" w:rsidRPr="00921FBE" w:rsidRDefault="0099600E" w:rsidP="00CB272F">
      <w:pPr>
        <w:numPr>
          <w:ilvl w:val="0"/>
          <w:numId w:val="17"/>
        </w:numPr>
        <w:spacing w:line="278" w:lineRule="auto"/>
        <w:rPr>
          <w:rFonts w:cs="Arial"/>
        </w:rPr>
      </w:pPr>
      <w:r w:rsidRPr="00921FBE">
        <w:rPr>
          <w:rFonts w:cs="Arial"/>
        </w:rPr>
        <w:t>Drought severity and frequency</w:t>
      </w:r>
    </w:p>
    <w:p w14:paraId="1903CB7E" w14:textId="77777777" w:rsidR="0099600E" w:rsidRPr="00921FBE" w:rsidRDefault="0099600E" w:rsidP="00CB272F">
      <w:pPr>
        <w:numPr>
          <w:ilvl w:val="0"/>
          <w:numId w:val="17"/>
        </w:numPr>
        <w:spacing w:line="278" w:lineRule="auto"/>
        <w:rPr>
          <w:rFonts w:cs="Arial"/>
        </w:rPr>
      </w:pPr>
      <w:r w:rsidRPr="00921FBE">
        <w:rPr>
          <w:rFonts w:cs="Arial"/>
        </w:rPr>
        <w:t>Water quality proxies</w:t>
      </w:r>
    </w:p>
    <w:p w14:paraId="41A262DC" w14:textId="77777777" w:rsidR="0099600E" w:rsidRPr="00921FBE" w:rsidRDefault="0099600E" w:rsidP="00CB272F">
      <w:pPr>
        <w:numPr>
          <w:ilvl w:val="0"/>
          <w:numId w:val="17"/>
        </w:numPr>
        <w:spacing w:line="278" w:lineRule="auto"/>
        <w:rPr>
          <w:rFonts w:cs="Arial"/>
        </w:rPr>
      </w:pPr>
      <w:r w:rsidRPr="00921FBE">
        <w:rPr>
          <w:rFonts w:cs="Arial"/>
        </w:rPr>
        <w:t>Land-use and land-cover change</w:t>
      </w:r>
    </w:p>
    <w:p w14:paraId="0DB773B5" w14:textId="77777777" w:rsidR="0099600E" w:rsidRPr="00921FBE" w:rsidRDefault="0099600E" w:rsidP="00CB272F">
      <w:pPr>
        <w:numPr>
          <w:ilvl w:val="0"/>
          <w:numId w:val="17"/>
        </w:numPr>
        <w:spacing w:line="278" w:lineRule="auto"/>
        <w:rPr>
          <w:rFonts w:cs="Arial"/>
        </w:rPr>
      </w:pPr>
      <w:r w:rsidRPr="00921FBE">
        <w:rPr>
          <w:rFonts w:cs="Arial"/>
        </w:rPr>
        <w:lastRenderedPageBreak/>
        <w:t>Ecosystem and watershed health</w:t>
      </w:r>
    </w:p>
    <w:p w14:paraId="51DE9BCD" w14:textId="77777777" w:rsidR="0099600E" w:rsidRPr="00921FBE" w:rsidRDefault="0099600E" w:rsidP="00CB272F">
      <w:pPr>
        <w:numPr>
          <w:ilvl w:val="0"/>
          <w:numId w:val="17"/>
        </w:numPr>
        <w:spacing w:line="278" w:lineRule="auto"/>
        <w:rPr>
          <w:rFonts w:cs="Arial"/>
        </w:rPr>
      </w:pPr>
      <w:r w:rsidRPr="00921FBE">
        <w:rPr>
          <w:rFonts w:cs="Arial"/>
        </w:rPr>
        <w:t>Agricultural water demand</w:t>
      </w:r>
    </w:p>
    <w:p w14:paraId="640BF863" w14:textId="77777777" w:rsidR="0099600E" w:rsidRPr="00921FBE" w:rsidRDefault="0099600E" w:rsidP="00CB272F">
      <w:pPr>
        <w:numPr>
          <w:ilvl w:val="0"/>
          <w:numId w:val="17"/>
        </w:numPr>
        <w:spacing w:line="278" w:lineRule="auto"/>
        <w:rPr>
          <w:rFonts w:cs="Arial"/>
        </w:rPr>
      </w:pPr>
      <w:r w:rsidRPr="00921FBE">
        <w:rPr>
          <w:rFonts w:cs="Arial"/>
        </w:rPr>
        <w:t>Crop conditions and irrigation intensity</w:t>
      </w:r>
    </w:p>
    <w:p w14:paraId="3A44E3E7" w14:textId="77777777" w:rsidR="0099600E" w:rsidRPr="00921FBE" w:rsidRDefault="0099600E" w:rsidP="00CB272F">
      <w:pPr>
        <w:numPr>
          <w:ilvl w:val="0"/>
          <w:numId w:val="17"/>
        </w:numPr>
        <w:spacing w:line="278" w:lineRule="auto"/>
        <w:rPr>
          <w:rFonts w:cs="Arial"/>
        </w:rPr>
      </w:pPr>
      <w:r w:rsidRPr="00921FBE">
        <w:rPr>
          <w:rFonts w:cs="Arial"/>
        </w:rPr>
        <w:t>Climate hazards and extreme events</w:t>
      </w:r>
    </w:p>
    <w:p w14:paraId="7FE7EB02" w14:textId="77777777" w:rsidR="0099600E" w:rsidRPr="00921FBE" w:rsidRDefault="0099600E" w:rsidP="0099600E">
      <w:pPr>
        <w:rPr>
          <w:rFonts w:cs="Arial"/>
        </w:rPr>
      </w:pPr>
      <w:r w:rsidRPr="00921FBE">
        <w:rPr>
          <w:rFonts w:cs="Arial"/>
        </w:rPr>
        <w:t>Outputs should be available at basin and sub-basin levels relevant to Coca-Cola operations and sourcing regions.</w:t>
      </w:r>
    </w:p>
    <w:p w14:paraId="7F2FA09C" w14:textId="77777777" w:rsidR="0099600E" w:rsidRPr="00921FBE" w:rsidRDefault="0099600E" w:rsidP="0099600E">
      <w:pPr>
        <w:spacing w:after="0" w:line="300" w:lineRule="auto"/>
        <w:rPr>
          <w:rFonts w:cs="Arial"/>
        </w:rPr>
      </w:pPr>
      <w:r w:rsidRPr="00921FBE">
        <w:rPr>
          <w:rFonts w:eastAsiaTheme="minorEastAsia" w:cs="Arial"/>
        </w:rPr>
        <w:t>Transboundary Risk Assessment: Given the Rio Grande's importance as a shared basin between the United States and Mexico, the assessment should evaluate how treaty obligations, water allocation agreements, regulatory changes, and geopolitical dynamics may influence future water availability, water security, and business resilience across the basin.</w:t>
      </w:r>
    </w:p>
    <w:p w14:paraId="61318EA9" w14:textId="77777777" w:rsidR="0099600E" w:rsidRPr="00921FBE" w:rsidRDefault="0099600E" w:rsidP="0099600E">
      <w:pPr>
        <w:spacing w:after="0" w:line="300" w:lineRule="auto"/>
        <w:rPr>
          <w:rFonts w:eastAsiaTheme="minorEastAsia" w:cs="Arial"/>
        </w:rPr>
      </w:pPr>
    </w:p>
    <w:p w14:paraId="453ACB53" w14:textId="77777777" w:rsidR="0099600E" w:rsidRPr="00921FBE" w:rsidRDefault="0099600E" w:rsidP="0099600E">
      <w:pPr>
        <w:rPr>
          <w:rFonts w:cs="Arial"/>
          <w:b/>
          <w:bCs/>
        </w:rPr>
      </w:pPr>
      <w:r w:rsidRPr="00921FBE">
        <w:rPr>
          <w:rFonts w:cs="Arial"/>
          <w:b/>
          <w:bCs/>
        </w:rPr>
        <w:t>2. Quantify Coca-Cola Water-Related Risk</w:t>
      </w:r>
    </w:p>
    <w:p w14:paraId="7B971880" w14:textId="77777777" w:rsidR="0099600E" w:rsidRPr="00921FBE" w:rsidRDefault="0099600E" w:rsidP="0099600E">
      <w:pPr>
        <w:rPr>
          <w:rFonts w:cs="Arial"/>
        </w:rPr>
      </w:pPr>
      <w:r w:rsidRPr="00921FBE">
        <w:rPr>
          <w:rFonts w:cs="Arial"/>
        </w:rPr>
        <w:t>Develop a framework that translates environmental data into business-relevant water risk indicators.</w:t>
      </w:r>
    </w:p>
    <w:p w14:paraId="6E93CF2C" w14:textId="77777777" w:rsidR="0099600E" w:rsidRPr="00921FBE" w:rsidRDefault="0099600E" w:rsidP="0099600E">
      <w:pPr>
        <w:rPr>
          <w:rFonts w:cs="Arial"/>
        </w:rPr>
      </w:pPr>
      <w:r w:rsidRPr="00921FBE">
        <w:rPr>
          <w:rFonts w:cs="Arial"/>
        </w:rPr>
        <w:t>Potential risk dimensions include:</w:t>
      </w:r>
    </w:p>
    <w:p w14:paraId="377FC1BF" w14:textId="77777777" w:rsidR="0099600E" w:rsidRPr="00921FBE" w:rsidRDefault="0099600E" w:rsidP="0099600E">
      <w:pPr>
        <w:rPr>
          <w:rFonts w:cs="Arial"/>
          <w:b/>
          <w:bCs/>
        </w:rPr>
      </w:pPr>
      <w:r w:rsidRPr="00921FBE">
        <w:rPr>
          <w:rFonts w:cs="Arial"/>
          <w:b/>
          <w:bCs/>
        </w:rPr>
        <w:t>Operational Risk</w:t>
      </w:r>
    </w:p>
    <w:p w14:paraId="3B38927B" w14:textId="77777777" w:rsidR="0099600E" w:rsidRPr="00921FBE" w:rsidRDefault="0099600E" w:rsidP="00CB272F">
      <w:pPr>
        <w:numPr>
          <w:ilvl w:val="0"/>
          <w:numId w:val="13"/>
        </w:numPr>
        <w:spacing w:line="278" w:lineRule="auto"/>
        <w:rPr>
          <w:rFonts w:cs="Arial"/>
        </w:rPr>
      </w:pPr>
      <w:r w:rsidRPr="00921FBE">
        <w:rPr>
          <w:rFonts w:cs="Arial"/>
        </w:rPr>
        <w:t>Risks to manufacturing facilities from water scarcity, drought, flooding, or deteriorating source-water conditions.</w:t>
      </w:r>
    </w:p>
    <w:p w14:paraId="04584736" w14:textId="77777777" w:rsidR="0099600E" w:rsidRPr="00921FBE" w:rsidRDefault="0099600E" w:rsidP="0099600E">
      <w:pPr>
        <w:rPr>
          <w:rFonts w:cs="Arial"/>
          <w:b/>
          <w:bCs/>
        </w:rPr>
      </w:pPr>
      <w:r w:rsidRPr="00921FBE">
        <w:rPr>
          <w:rFonts w:cs="Arial"/>
          <w:b/>
          <w:bCs/>
        </w:rPr>
        <w:t>Community Risk</w:t>
      </w:r>
    </w:p>
    <w:p w14:paraId="49B0A3E1" w14:textId="77777777" w:rsidR="0099600E" w:rsidRPr="00921FBE" w:rsidRDefault="0099600E" w:rsidP="00CB272F">
      <w:pPr>
        <w:numPr>
          <w:ilvl w:val="0"/>
          <w:numId w:val="14"/>
        </w:numPr>
        <w:spacing w:line="278" w:lineRule="auto"/>
        <w:rPr>
          <w:rFonts w:cs="Arial"/>
        </w:rPr>
      </w:pPr>
      <w:r w:rsidRPr="00921FBE">
        <w:rPr>
          <w:rFonts w:cs="Arial"/>
        </w:rPr>
        <w:t>Areas where increasing water stress may affect local communities and shared water resources.</w:t>
      </w:r>
    </w:p>
    <w:p w14:paraId="188BD099" w14:textId="77777777" w:rsidR="0099600E" w:rsidRPr="00921FBE" w:rsidRDefault="0099600E" w:rsidP="0099600E">
      <w:pPr>
        <w:rPr>
          <w:rFonts w:cs="Arial"/>
          <w:b/>
          <w:bCs/>
        </w:rPr>
      </w:pPr>
      <w:r w:rsidRPr="00921FBE">
        <w:rPr>
          <w:rFonts w:cs="Arial"/>
          <w:b/>
          <w:bCs/>
        </w:rPr>
        <w:t>Ecosystem Risk</w:t>
      </w:r>
    </w:p>
    <w:p w14:paraId="46CE3999" w14:textId="77777777" w:rsidR="0099600E" w:rsidRPr="00921FBE" w:rsidRDefault="0099600E" w:rsidP="00CB272F">
      <w:pPr>
        <w:numPr>
          <w:ilvl w:val="0"/>
          <w:numId w:val="16"/>
        </w:numPr>
        <w:spacing w:line="278" w:lineRule="auto"/>
        <w:rPr>
          <w:rFonts w:cs="Arial"/>
        </w:rPr>
      </w:pPr>
      <w:r w:rsidRPr="00921FBE">
        <w:rPr>
          <w:rFonts w:cs="Arial"/>
        </w:rPr>
        <w:t>Degradation of rivers, wetlands, recharge zones, and natural infrastructure important for watershed function.</w:t>
      </w:r>
    </w:p>
    <w:p w14:paraId="70848F60" w14:textId="77777777" w:rsidR="0099600E" w:rsidRPr="00921FBE" w:rsidRDefault="0099600E" w:rsidP="0099600E">
      <w:pPr>
        <w:rPr>
          <w:rFonts w:cs="Arial"/>
        </w:rPr>
      </w:pPr>
      <w:r w:rsidRPr="00921FBE">
        <w:rPr>
          <w:rFonts w:cs="Arial"/>
        </w:rPr>
        <w:t>The solution should identify priority hotspots requiring increased monitoring or intervention.</w:t>
      </w:r>
    </w:p>
    <w:p w14:paraId="287D4C30" w14:textId="77777777" w:rsidR="0099600E" w:rsidRPr="00921FBE" w:rsidRDefault="0099600E" w:rsidP="0099600E">
      <w:pPr>
        <w:rPr>
          <w:rFonts w:cs="Arial"/>
          <w:b/>
          <w:bCs/>
        </w:rPr>
      </w:pPr>
      <w:r w:rsidRPr="00921FBE">
        <w:rPr>
          <w:rFonts w:cs="Arial"/>
          <w:b/>
          <w:bCs/>
        </w:rPr>
        <w:t>3. Forecast Future Water Security Scenarios</w:t>
      </w:r>
    </w:p>
    <w:p w14:paraId="69E0A015" w14:textId="77777777" w:rsidR="0099600E" w:rsidRPr="00921FBE" w:rsidRDefault="0099600E" w:rsidP="0099600E">
      <w:pPr>
        <w:rPr>
          <w:rFonts w:cs="Arial"/>
        </w:rPr>
      </w:pPr>
      <w:r w:rsidRPr="00921FBE">
        <w:rPr>
          <w:rFonts w:cs="Arial"/>
        </w:rPr>
        <w:t>Develop predictive capabilities to assess how basin conditions may evolve under different scenarios.</w:t>
      </w:r>
    </w:p>
    <w:p w14:paraId="696A2CE1" w14:textId="77777777" w:rsidR="0099600E" w:rsidRPr="00921FBE" w:rsidRDefault="0099600E" w:rsidP="0099600E">
      <w:pPr>
        <w:rPr>
          <w:rFonts w:cs="Arial"/>
        </w:rPr>
      </w:pPr>
      <w:r w:rsidRPr="00921FBE">
        <w:rPr>
          <w:rFonts w:cs="Arial"/>
        </w:rPr>
        <w:t>Scenarios may include:</w:t>
      </w:r>
    </w:p>
    <w:p w14:paraId="2948991E" w14:textId="77777777" w:rsidR="0099600E" w:rsidRPr="00921FBE" w:rsidRDefault="0099600E" w:rsidP="00CB272F">
      <w:pPr>
        <w:numPr>
          <w:ilvl w:val="0"/>
          <w:numId w:val="9"/>
        </w:numPr>
        <w:spacing w:line="278" w:lineRule="auto"/>
        <w:rPr>
          <w:rFonts w:cs="Arial"/>
        </w:rPr>
      </w:pPr>
      <w:r w:rsidRPr="00921FBE">
        <w:rPr>
          <w:rFonts w:cs="Arial"/>
        </w:rPr>
        <w:t>Climate change projections</w:t>
      </w:r>
    </w:p>
    <w:p w14:paraId="6126E485" w14:textId="77777777" w:rsidR="0099600E" w:rsidRPr="00921FBE" w:rsidRDefault="0099600E" w:rsidP="00CB272F">
      <w:pPr>
        <w:numPr>
          <w:ilvl w:val="0"/>
          <w:numId w:val="9"/>
        </w:numPr>
        <w:spacing w:line="278" w:lineRule="auto"/>
        <w:rPr>
          <w:rFonts w:cs="Arial"/>
        </w:rPr>
      </w:pPr>
      <w:r w:rsidRPr="00921FBE">
        <w:rPr>
          <w:rFonts w:cs="Arial"/>
        </w:rPr>
        <w:t>Multi-year drought conditions</w:t>
      </w:r>
    </w:p>
    <w:p w14:paraId="2C19AD3E" w14:textId="77777777" w:rsidR="0099600E" w:rsidRPr="00921FBE" w:rsidRDefault="0099600E" w:rsidP="00CB272F">
      <w:pPr>
        <w:numPr>
          <w:ilvl w:val="0"/>
          <w:numId w:val="9"/>
        </w:numPr>
        <w:spacing w:line="278" w:lineRule="auto"/>
        <w:rPr>
          <w:rFonts w:cs="Arial"/>
        </w:rPr>
      </w:pPr>
      <w:r w:rsidRPr="00921FBE">
        <w:rPr>
          <w:rFonts w:cs="Arial"/>
        </w:rPr>
        <w:t>Population growth</w:t>
      </w:r>
    </w:p>
    <w:p w14:paraId="7017DEB7" w14:textId="77777777" w:rsidR="0099600E" w:rsidRPr="00921FBE" w:rsidRDefault="0099600E" w:rsidP="00CB272F">
      <w:pPr>
        <w:numPr>
          <w:ilvl w:val="0"/>
          <w:numId w:val="9"/>
        </w:numPr>
        <w:spacing w:line="278" w:lineRule="auto"/>
        <w:rPr>
          <w:rFonts w:cs="Arial"/>
        </w:rPr>
      </w:pPr>
      <w:r w:rsidRPr="00921FBE">
        <w:rPr>
          <w:rFonts w:cs="Arial"/>
        </w:rPr>
        <w:lastRenderedPageBreak/>
        <w:t>Agricultural expansion</w:t>
      </w:r>
    </w:p>
    <w:p w14:paraId="5EC7FF5A" w14:textId="77777777" w:rsidR="0099600E" w:rsidRPr="00921FBE" w:rsidRDefault="0099600E" w:rsidP="00CB272F">
      <w:pPr>
        <w:numPr>
          <w:ilvl w:val="0"/>
          <w:numId w:val="9"/>
        </w:numPr>
        <w:spacing w:line="278" w:lineRule="auto"/>
        <w:rPr>
          <w:rFonts w:cs="Arial"/>
        </w:rPr>
      </w:pPr>
      <w:r w:rsidRPr="00921FBE">
        <w:rPr>
          <w:rFonts w:cs="Arial"/>
        </w:rPr>
        <w:t>Changes in irrigation practices</w:t>
      </w:r>
    </w:p>
    <w:p w14:paraId="399BF6B0" w14:textId="77777777" w:rsidR="0099600E" w:rsidRPr="00921FBE" w:rsidRDefault="0099600E" w:rsidP="00CB272F">
      <w:pPr>
        <w:numPr>
          <w:ilvl w:val="0"/>
          <w:numId w:val="9"/>
        </w:numPr>
        <w:spacing w:line="278" w:lineRule="auto"/>
        <w:rPr>
          <w:rFonts w:cs="Arial"/>
        </w:rPr>
      </w:pPr>
      <w:r w:rsidRPr="00921FBE">
        <w:rPr>
          <w:rFonts w:cs="Arial"/>
        </w:rPr>
        <w:t>Groundwater depletion trends</w:t>
      </w:r>
    </w:p>
    <w:p w14:paraId="2F53935B" w14:textId="77777777" w:rsidR="0099600E" w:rsidRPr="00921FBE" w:rsidRDefault="0099600E" w:rsidP="0099600E">
      <w:pPr>
        <w:rPr>
          <w:rFonts w:cs="Arial"/>
        </w:rPr>
      </w:pPr>
      <w:r w:rsidRPr="00921FBE">
        <w:rPr>
          <w:rFonts w:cs="Arial"/>
        </w:rPr>
        <w:t>The solution should provide future risk assessments for:</w:t>
      </w:r>
    </w:p>
    <w:p w14:paraId="3448E699" w14:textId="77777777" w:rsidR="0099600E" w:rsidRPr="00921FBE" w:rsidRDefault="0099600E" w:rsidP="00CB272F">
      <w:pPr>
        <w:numPr>
          <w:ilvl w:val="0"/>
          <w:numId w:val="18"/>
        </w:numPr>
        <w:spacing w:line="278" w:lineRule="auto"/>
        <w:rPr>
          <w:rFonts w:cs="Arial"/>
        </w:rPr>
      </w:pPr>
      <w:r w:rsidRPr="00921FBE">
        <w:rPr>
          <w:rFonts w:cs="Arial"/>
        </w:rPr>
        <w:t>2030</w:t>
      </w:r>
    </w:p>
    <w:p w14:paraId="6BC33B92" w14:textId="77777777" w:rsidR="0099600E" w:rsidRPr="00921FBE" w:rsidRDefault="0099600E" w:rsidP="00CB272F">
      <w:pPr>
        <w:numPr>
          <w:ilvl w:val="0"/>
          <w:numId w:val="18"/>
        </w:numPr>
        <w:spacing w:line="278" w:lineRule="auto"/>
        <w:rPr>
          <w:rFonts w:cs="Arial"/>
        </w:rPr>
      </w:pPr>
      <w:r w:rsidRPr="00921FBE">
        <w:rPr>
          <w:rFonts w:cs="Arial"/>
        </w:rPr>
        <w:t>2040</w:t>
      </w:r>
    </w:p>
    <w:p w14:paraId="3BD12E86" w14:textId="77777777" w:rsidR="0099600E" w:rsidRPr="00921FBE" w:rsidRDefault="0099600E" w:rsidP="00CB272F">
      <w:pPr>
        <w:numPr>
          <w:ilvl w:val="0"/>
          <w:numId w:val="18"/>
        </w:numPr>
        <w:spacing w:line="278" w:lineRule="auto"/>
        <w:rPr>
          <w:rFonts w:cs="Arial"/>
        </w:rPr>
      </w:pPr>
      <w:r w:rsidRPr="00921FBE">
        <w:rPr>
          <w:rFonts w:cs="Arial"/>
        </w:rPr>
        <w:t>2050</w:t>
      </w:r>
    </w:p>
    <w:p w14:paraId="62F2A677" w14:textId="77777777" w:rsidR="0099600E" w:rsidRPr="00921FBE" w:rsidRDefault="0099600E" w:rsidP="0099600E">
      <w:pPr>
        <w:rPr>
          <w:rFonts w:cs="Arial"/>
        </w:rPr>
      </w:pPr>
      <w:r w:rsidRPr="00921FBE">
        <w:rPr>
          <w:rFonts w:cs="Arial"/>
        </w:rPr>
        <w:t>and identify emerging hotspots before risks become critical.</w:t>
      </w:r>
    </w:p>
    <w:p w14:paraId="11E910A1" w14:textId="77777777" w:rsidR="0099600E" w:rsidRPr="00921FBE" w:rsidRDefault="0099600E" w:rsidP="0099600E">
      <w:pPr>
        <w:rPr>
          <w:rFonts w:cs="Arial"/>
          <w:b/>
          <w:bCs/>
        </w:rPr>
      </w:pPr>
      <w:r w:rsidRPr="00921FBE">
        <w:rPr>
          <w:rFonts w:cs="Arial"/>
          <w:b/>
          <w:bCs/>
        </w:rPr>
        <w:t>4. Identify Opportunities for Collective Action</w:t>
      </w:r>
    </w:p>
    <w:p w14:paraId="352FAB75" w14:textId="77777777" w:rsidR="0099600E" w:rsidRPr="00921FBE" w:rsidRDefault="0099600E" w:rsidP="0099600E">
      <w:pPr>
        <w:rPr>
          <w:rFonts w:cs="Arial"/>
        </w:rPr>
      </w:pPr>
      <w:r w:rsidRPr="00921FBE">
        <w:rPr>
          <w:rFonts w:cs="Arial"/>
        </w:rPr>
        <w:t>One of the primary objectives is to support Coca-Cola's watershed stewardship efforts by identifying locations where collective action can generate meaningful basin-scale impact.</w:t>
      </w:r>
    </w:p>
    <w:p w14:paraId="00D17F79" w14:textId="77777777" w:rsidR="0099600E" w:rsidRPr="00921FBE" w:rsidRDefault="0099600E" w:rsidP="0099600E">
      <w:pPr>
        <w:rPr>
          <w:rFonts w:cs="Arial"/>
        </w:rPr>
      </w:pPr>
      <w:r w:rsidRPr="00921FBE">
        <w:rPr>
          <w:rFonts w:cs="Arial"/>
        </w:rPr>
        <w:t>The solution should help prioritize opportunities such as:</w:t>
      </w:r>
    </w:p>
    <w:p w14:paraId="001401E1" w14:textId="77777777" w:rsidR="0099600E" w:rsidRPr="00921FBE" w:rsidRDefault="0099600E" w:rsidP="00CB272F">
      <w:pPr>
        <w:numPr>
          <w:ilvl w:val="0"/>
          <w:numId w:val="11"/>
        </w:numPr>
        <w:spacing w:line="278" w:lineRule="auto"/>
        <w:rPr>
          <w:rFonts w:cs="Arial"/>
        </w:rPr>
      </w:pPr>
      <w:r w:rsidRPr="00921FBE">
        <w:rPr>
          <w:rFonts w:cs="Arial"/>
        </w:rPr>
        <w:t>Watershed restoration</w:t>
      </w:r>
    </w:p>
    <w:p w14:paraId="1A98BBB4" w14:textId="77777777" w:rsidR="0099600E" w:rsidRPr="00921FBE" w:rsidRDefault="0099600E" w:rsidP="00CB272F">
      <w:pPr>
        <w:numPr>
          <w:ilvl w:val="0"/>
          <w:numId w:val="11"/>
        </w:numPr>
        <w:spacing w:line="278" w:lineRule="auto"/>
        <w:rPr>
          <w:rFonts w:cs="Arial"/>
        </w:rPr>
      </w:pPr>
      <w:r w:rsidRPr="00921FBE">
        <w:rPr>
          <w:rFonts w:cs="Arial"/>
        </w:rPr>
        <w:t>Nature-based solutions</w:t>
      </w:r>
    </w:p>
    <w:p w14:paraId="7065B8BF" w14:textId="77777777" w:rsidR="0099600E" w:rsidRPr="00921FBE" w:rsidRDefault="0099600E" w:rsidP="00CB272F">
      <w:pPr>
        <w:numPr>
          <w:ilvl w:val="0"/>
          <w:numId w:val="11"/>
        </w:numPr>
        <w:spacing w:line="278" w:lineRule="auto"/>
        <w:rPr>
          <w:rFonts w:cs="Arial"/>
        </w:rPr>
      </w:pPr>
      <w:r w:rsidRPr="00921FBE">
        <w:rPr>
          <w:rFonts w:cs="Arial"/>
        </w:rPr>
        <w:t>Groundwater recharge projects</w:t>
      </w:r>
    </w:p>
    <w:p w14:paraId="096D6E9F" w14:textId="77777777" w:rsidR="0099600E" w:rsidRPr="00921FBE" w:rsidRDefault="0099600E" w:rsidP="00CB272F">
      <w:pPr>
        <w:numPr>
          <w:ilvl w:val="0"/>
          <w:numId w:val="11"/>
        </w:numPr>
        <w:spacing w:line="278" w:lineRule="auto"/>
        <w:rPr>
          <w:rFonts w:cs="Arial"/>
        </w:rPr>
      </w:pPr>
      <w:r w:rsidRPr="00921FBE">
        <w:rPr>
          <w:rFonts w:cs="Arial"/>
        </w:rPr>
        <w:t>Agricultural water-efficiency programs</w:t>
      </w:r>
    </w:p>
    <w:p w14:paraId="46397525" w14:textId="77777777" w:rsidR="0099600E" w:rsidRPr="00921FBE" w:rsidRDefault="0099600E" w:rsidP="00CB272F">
      <w:pPr>
        <w:numPr>
          <w:ilvl w:val="0"/>
          <w:numId w:val="11"/>
        </w:numPr>
        <w:spacing w:line="278" w:lineRule="auto"/>
        <w:rPr>
          <w:rFonts w:cs="Arial"/>
        </w:rPr>
      </w:pPr>
      <w:r w:rsidRPr="00921FBE">
        <w:rPr>
          <w:rFonts w:cs="Arial"/>
        </w:rPr>
        <w:t>Wetland restoration</w:t>
      </w:r>
    </w:p>
    <w:p w14:paraId="254FECCD" w14:textId="77777777" w:rsidR="0099600E" w:rsidRPr="00921FBE" w:rsidRDefault="0099600E" w:rsidP="00CB272F">
      <w:pPr>
        <w:numPr>
          <w:ilvl w:val="0"/>
          <w:numId w:val="11"/>
        </w:numPr>
        <w:spacing w:line="278" w:lineRule="auto"/>
        <w:rPr>
          <w:rFonts w:cs="Arial"/>
        </w:rPr>
      </w:pPr>
      <w:r w:rsidRPr="00921FBE">
        <w:rPr>
          <w:rFonts w:cs="Arial"/>
        </w:rPr>
        <w:t>Riparian habitat protection</w:t>
      </w:r>
    </w:p>
    <w:p w14:paraId="063C3E95" w14:textId="77777777" w:rsidR="0099600E" w:rsidRPr="00921FBE" w:rsidRDefault="0099600E" w:rsidP="00CB272F">
      <w:pPr>
        <w:numPr>
          <w:ilvl w:val="0"/>
          <w:numId w:val="11"/>
        </w:numPr>
        <w:spacing w:line="278" w:lineRule="auto"/>
        <w:rPr>
          <w:rFonts w:cs="Arial"/>
        </w:rPr>
      </w:pPr>
      <w:r w:rsidRPr="00921FBE">
        <w:rPr>
          <w:rFonts w:cs="Arial"/>
        </w:rPr>
        <w:t>Water loss reduction initiatives</w:t>
      </w:r>
    </w:p>
    <w:p w14:paraId="50397FE4" w14:textId="77777777" w:rsidR="0099600E" w:rsidRPr="00921FBE" w:rsidRDefault="0099600E" w:rsidP="00CB272F">
      <w:pPr>
        <w:numPr>
          <w:ilvl w:val="0"/>
          <w:numId w:val="11"/>
        </w:numPr>
        <w:spacing w:line="278" w:lineRule="auto"/>
        <w:rPr>
          <w:rFonts w:cs="Arial"/>
        </w:rPr>
      </w:pPr>
      <w:r w:rsidRPr="00921FBE">
        <w:rPr>
          <w:rFonts w:cs="Arial"/>
        </w:rPr>
        <w:t>Multi-stakeholder watershed partnerships</w:t>
      </w:r>
    </w:p>
    <w:p w14:paraId="48EC3CA6" w14:textId="77777777" w:rsidR="0099600E" w:rsidRPr="00921FBE" w:rsidRDefault="0099600E" w:rsidP="0099600E">
      <w:pPr>
        <w:rPr>
          <w:rFonts w:cs="Arial"/>
        </w:rPr>
      </w:pPr>
      <w:r w:rsidRPr="00921FBE">
        <w:rPr>
          <w:rFonts w:cs="Arial"/>
        </w:rPr>
        <w:t>Where possible, the solution should estimate the expected water-security benefits of potential interventions.</w:t>
      </w:r>
    </w:p>
    <w:p w14:paraId="29DF7895" w14:textId="77777777" w:rsidR="0099600E" w:rsidRPr="00921FBE" w:rsidRDefault="0099600E" w:rsidP="0099600E">
      <w:pPr>
        <w:rPr>
          <w:rFonts w:cs="Arial"/>
          <w:b/>
          <w:bCs/>
        </w:rPr>
      </w:pPr>
      <w:r w:rsidRPr="00921FBE">
        <w:rPr>
          <w:rFonts w:cs="Arial"/>
          <w:b/>
          <w:bCs/>
        </w:rPr>
        <w:t>5. Support Decision-Making and Investment Prioritization</w:t>
      </w:r>
    </w:p>
    <w:p w14:paraId="7D21C285" w14:textId="77777777" w:rsidR="0099600E" w:rsidRPr="00921FBE" w:rsidRDefault="0099600E" w:rsidP="0099600E">
      <w:pPr>
        <w:rPr>
          <w:rFonts w:cs="Arial"/>
        </w:rPr>
      </w:pPr>
      <w:r w:rsidRPr="00921FBE">
        <w:rPr>
          <w:rFonts w:cs="Arial"/>
        </w:rPr>
        <w:t>The final solution should enable Coca-Cola teams to:</w:t>
      </w:r>
    </w:p>
    <w:p w14:paraId="133052B8" w14:textId="77777777" w:rsidR="0099600E" w:rsidRPr="00921FBE" w:rsidRDefault="0099600E" w:rsidP="00CB272F">
      <w:pPr>
        <w:numPr>
          <w:ilvl w:val="0"/>
          <w:numId w:val="12"/>
        </w:numPr>
        <w:spacing w:line="278" w:lineRule="auto"/>
        <w:rPr>
          <w:rFonts w:cs="Arial"/>
        </w:rPr>
      </w:pPr>
      <w:r w:rsidRPr="00921FBE">
        <w:rPr>
          <w:rFonts w:cs="Arial"/>
        </w:rPr>
        <w:t>Compare risk across sub-basins</w:t>
      </w:r>
    </w:p>
    <w:p w14:paraId="3FE20D9F" w14:textId="77777777" w:rsidR="0099600E" w:rsidRPr="00921FBE" w:rsidRDefault="0099600E" w:rsidP="00CB272F">
      <w:pPr>
        <w:numPr>
          <w:ilvl w:val="0"/>
          <w:numId w:val="12"/>
        </w:numPr>
        <w:spacing w:line="278" w:lineRule="auto"/>
        <w:rPr>
          <w:rFonts w:cs="Arial"/>
        </w:rPr>
      </w:pPr>
      <w:r w:rsidRPr="00921FBE">
        <w:rPr>
          <w:rFonts w:cs="Arial"/>
        </w:rPr>
        <w:t>Track changes over time</w:t>
      </w:r>
    </w:p>
    <w:p w14:paraId="5E31701D" w14:textId="77777777" w:rsidR="0099600E" w:rsidRPr="00921FBE" w:rsidRDefault="0099600E" w:rsidP="00CB272F">
      <w:pPr>
        <w:numPr>
          <w:ilvl w:val="0"/>
          <w:numId w:val="12"/>
        </w:numPr>
        <w:spacing w:line="278" w:lineRule="auto"/>
        <w:rPr>
          <w:rFonts w:cs="Arial"/>
        </w:rPr>
      </w:pPr>
      <w:r w:rsidRPr="00921FBE">
        <w:rPr>
          <w:rFonts w:cs="Arial"/>
        </w:rPr>
        <w:t>Prioritize watersheds for engagement</w:t>
      </w:r>
    </w:p>
    <w:p w14:paraId="29A70332" w14:textId="77777777" w:rsidR="0099600E" w:rsidRPr="00921FBE" w:rsidRDefault="0099600E" w:rsidP="00CB272F">
      <w:pPr>
        <w:numPr>
          <w:ilvl w:val="0"/>
          <w:numId w:val="12"/>
        </w:numPr>
        <w:spacing w:line="278" w:lineRule="auto"/>
        <w:rPr>
          <w:rFonts w:cs="Arial"/>
        </w:rPr>
      </w:pPr>
      <w:r w:rsidRPr="00921FBE">
        <w:rPr>
          <w:rFonts w:cs="Arial"/>
        </w:rPr>
        <w:t>Direct replenishment investments to areas of highest need</w:t>
      </w:r>
    </w:p>
    <w:p w14:paraId="073255E8" w14:textId="77777777" w:rsidR="0099600E" w:rsidRPr="00921FBE" w:rsidRDefault="0099600E" w:rsidP="00CB272F">
      <w:pPr>
        <w:numPr>
          <w:ilvl w:val="0"/>
          <w:numId w:val="12"/>
        </w:numPr>
        <w:spacing w:line="278" w:lineRule="auto"/>
        <w:rPr>
          <w:rFonts w:cs="Arial"/>
        </w:rPr>
      </w:pPr>
      <w:r w:rsidRPr="00921FBE">
        <w:rPr>
          <w:rFonts w:cs="Arial"/>
        </w:rPr>
        <w:t>Measure basin resilience outcomes</w:t>
      </w:r>
    </w:p>
    <w:p w14:paraId="3116565C" w14:textId="77777777" w:rsidR="0099600E" w:rsidRPr="00921FBE" w:rsidRDefault="0099600E" w:rsidP="00CB272F">
      <w:pPr>
        <w:numPr>
          <w:ilvl w:val="0"/>
          <w:numId w:val="12"/>
        </w:numPr>
        <w:spacing w:line="278" w:lineRule="auto"/>
        <w:rPr>
          <w:rFonts w:cs="Arial"/>
        </w:rPr>
      </w:pPr>
      <w:r w:rsidRPr="00921FBE">
        <w:rPr>
          <w:rFonts w:cs="Arial"/>
        </w:rPr>
        <w:lastRenderedPageBreak/>
        <w:t>Support water stewardship planning and reporting</w:t>
      </w:r>
    </w:p>
    <w:p w14:paraId="40FBE049" w14:textId="77777777" w:rsidR="0099600E" w:rsidRPr="00921FBE" w:rsidRDefault="0099600E" w:rsidP="0099600E">
      <w:pPr>
        <w:rPr>
          <w:rFonts w:cs="Arial"/>
          <w:b/>
          <w:bCs/>
        </w:rPr>
      </w:pPr>
      <w:r w:rsidRPr="00921FBE">
        <w:rPr>
          <w:rFonts w:cs="Arial"/>
          <w:b/>
          <w:bCs/>
        </w:rPr>
        <w:t>Desired Outputs</w:t>
      </w:r>
    </w:p>
    <w:p w14:paraId="19D83AB2" w14:textId="77777777" w:rsidR="0099600E" w:rsidRPr="00921FBE" w:rsidRDefault="0099600E" w:rsidP="0099600E">
      <w:pPr>
        <w:rPr>
          <w:rFonts w:cs="Arial"/>
        </w:rPr>
      </w:pPr>
      <w:r w:rsidRPr="00921FBE">
        <w:rPr>
          <w:rFonts w:cs="Arial"/>
        </w:rPr>
        <w:t>Participants should deliver:</w:t>
      </w:r>
    </w:p>
    <w:p w14:paraId="175080E7" w14:textId="77777777" w:rsidR="0099600E" w:rsidRPr="00921FBE" w:rsidRDefault="0099600E" w:rsidP="00CB272F">
      <w:pPr>
        <w:numPr>
          <w:ilvl w:val="0"/>
          <w:numId w:val="10"/>
        </w:numPr>
        <w:spacing w:line="278" w:lineRule="auto"/>
        <w:rPr>
          <w:rFonts w:cs="Arial"/>
        </w:rPr>
      </w:pPr>
      <w:r w:rsidRPr="00921FBE">
        <w:rPr>
          <w:rFonts w:cs="Arial"/>
        </w:rPr>
        <w:t>A Rio Grande Basin Water Risk Intelligence Framework</w:t>
      </w:r>
    </w:p>
    <w:p w14:paraId="066DE747" w14:textId="77777777" w:rsidR="0099600E" w:rsidRPr="00921FBE" w:rsidRDefault="0099600E" w:rsidP="00CB272F">
      <w:pPr>
        <w:numPr>
          <w:ilvl w:val="0"/>
          <w:numId w:val="10"/>
        </w:numPr>
        <w:spacing w:line="278" w:lineRule="auto"/>
        <w:rPr>
          <w:rFonts w:cs="Arial"/>
        </w:rPr>
      </w:pPr>
      <w:r w:rsidRPr="00921FBE">
        <w:rPr>
          <w:rFonts w:cs="Arial"/>
        </w:rPr>
        <w:t>Interactive basin and sub-basin risk maps</w:t>
      </w:r>
    </w:p>
    <w:p w14:paraId="414E3B9A" w14:textId="77777777" w:rsidR="0099600E" w:rsidRPr="00921FBE" w:rsidRDefault="0099600E" w:rsidP="00CB272F">
      <w:pPr>
        <w:numPr>
          <w:ilvl w:val="0"/>
          <w:numId w:val="10"/>
        </w:numPr>
        <w:spacing w:line="278" w:lineRule="auto"/>
        <w:rPr>
          <w:rFonts w:cs="Arial"/>
        </w:rPr>
      </w:pPr>
      <w:r w:rsidRPr="00921FBE">
        <w:rPr>
          <w:rFonts w:cs="Arial"/>
        </w:rPr>
        <w:t>Coca-Cola-relevant risk hotspot identification</w:t>
      </w:r>
    </w:p>
    <w:p w14:paraId="71514E3F" w14:textId="77777777" w:rsidR="0099600E" w:rsidRPr="00921FBE" w:rsidRDefault="0099600E" w:rsidP="00CB272F">
      <w:pPr>
        <w:numPr>
          <w:ilvl w:val="0"/>
          <w:numId w:val="10"/>
        </w:numPr>
        <w:spacing w:line="278" w:lineRule="auto"/>
        <w:rPr>
          <w:rFonts w:cs="Arial"/>
        </w:rPr>
      </w:pPr>
      <w:r w:rsidRPr="00921FBE">
        <w:rPr>
          <w:rFonts w:cs="Arial"/>
        </w:rPr>
        <w:t>Future scenario analyses (2030-2050)</w:t>
      </w:r>
    </w:p>
    <w:p w14:paraId="5733B5C8" w14:textId="77777777" w:rsidR="0099600E" w:rsidRPr="00921FBE" w:rsidRDefault="0099600E" w:rsidP="00CB272F">
      <w:pPr>
        <w:numPr>
          <w:ilvl w:val="0"/>
          <w:numId w:val="10"/>
        </w:numPr>
        <w:spacing w:line="278" w:lineRule="auto"/>
        <w:rPr>
          <w:rFonts w:cs="Arial"/>
        </w:rPr>
      </w:pPr>
      <w:r w:rsidRPr="00921FBE">
        <w:rPr>
          <w:rFonts w:cs="Arial"/>
        </w:rPr>
        <w:t>Prioritized intervention opportunities</w:t>
      </w:r>
    </w:p>
    <w:p w14:paraId="75D18CE6" w14:textId="77777777" w:rsidR="0099600E" w:rsidRPr="00921FBE" w:rsidRDefault="0099600E" w:rsidP="00CB272F">
      <w:pPr>
        <w:numPr>
          <w:ilvl w:val="0"/>
          <w:numId w:val="10"/>
        </w:numPr>
        <w:spacing w:line="278" w:lineRule="auto"/>
        <w:rPr>
          <w:rFonts w:cs="Arial"/>
        </w:rPr>
      </w:pPr>
      <w:r w:rsidRPr="00921FBE">
        <w:rPr>
          <w:rFonts w:cs="Arial"/>
        </w:rPr>
        <w:t>Recommendations for an operational monitoring platform using Earth Observation and AI</w:t>
      </w:r>
    </w:p>
    <w:p w14:paraId="03174C31" w14:textId="77777777" w:rsidR="0099600E" w:rsidRPr="00921FBE" w:rsidRDefault="0099600E" w:rsidP="0099600E">
      <w:pPr>
        <w:rPr>
          <w:rFonts w:cs="Arial"/>
          <w:b/>
          <w:bCs/>
        </w:rPr>
      </w:pPr>
      <w:r w:rsidRPr="00921FBE">
        <w:rPr>
          <w:rFonts w:cs="Arial"/>
          <w:b/>
          <w:bCs/>
        </w:rPr>
        <w:t>Technologies of Interest</w:t>
      </w:r>
    </w:p>
    <w:p w14:paraId="2FD2B85D" w14:textId="77777777" w:rsidR="0099600E" w:rsidRPr="00921FBE" w:rsidRDefault="0099600E" w:rsidP="0099600E">
      <w:pPr>
        <w:rPr>
          <w:rFonts w:cs="Arial"/>
        </w:rPr>
      </w:pPr>
      <w:r w:rsidRPr="00921FBE">
        <w:rPr>
          <w:rFonts w:cs="Arial"/>
        </w:rPr>
        <w:t>Solutions may leverage:</w:t>
      </w:r>
    </w:p>
    <w:p w14:paraId="41F782FB" w14:textId="77777777" w:rsidR="0099600E" w:rsidRPr="00921FBE" w:rsidRDefault="0099600E" w:rsidP="00CB272F">
      <w:pPr>
        <w:numPr>
          <w:ilvl w:val="0"/>
          <w:numId w:val="15"/>
        </w:numPr>
        <w:spacing w:line="278" w:lineRule="auto"/>
        <w:rPr>
          <w:rFonts w:cs="Arial"/>
        </w:rPr>
      </w:pPr>
      <w:r w:rsidRPr="00921FBE">
        <w:rPr>
          <w:rFonts w:cs="Arial"/>
        </w:rPr>
        <w:t>ESA and Copernicus Sentinel missions</w:t>
      </w:r>
    </w:p>
    <w:p w14:paraId="4F68B4B2" w14:textId="77777777" w:rsidR="0099600E" w:rsidRPr="00921FBE" w:rsidRDefault="0099600E" w:rsidP="00CB272F">
      <w:pPr>
        <w:numPr>
          <w:ilvl w:val="0"/>
          <w:numId w:val="15"/>
        </w:numPr>
        <w:spacing w:line="278" w:lineRule="auto"/>
        <w:rPr>
          <w:rFonts w:cs="Arial"/>
        </w:rPr>
      </w:pPr>
      <w:r w:rsidRPr="00921FBE">
        <w:rPr>
          <w:rFonts w:cs="Arial"/>
        </w:rPr>
        <w:t>Satellite-derived hydrological datasets</w:t>
      </w:r>
    </w:p>
    <w:p w14:paraId="7EE8DE83" w14:textId="77777777" w:rsidR="0099600E" w:rsidRPr="00921FBE" w:rsidRDefault="0099600E" w:rsidP="00CB272F">
      <w:pPr>
        <w:numPr>
          <w:ilvl w:val="0"/>
          <w:numId w:val="15"/>
        </w:numPr>
        <w:spacing w:line="278" w:lineRule="auto"/>
        <w:rPr>
          <w:rFonts w:cs="Arial"/>
        </w:rPr>
      </w:pPr>
      <w:r w:rsidRPr="00921FBE">
        <w:rPr>
          <w:rFonts w:cs="Arial"/>
        </w:rPr>
        <w:t>Climate and weather observations</w:t>
      </w:r>
    </w:p>
    <w:p w14:paraId="46AD3D3A" w14:textId="77777777" w:rsidR="0099600E" w:rsidRPr="00921FBE" w:rsidRDefault="0099600E" w:rsidP="00CB272F">
      <w:pPr>
        <w:numPr>
          <w:ilvl w:val="0"/>
          <w:numId w:val="15"/>
        </w:numPr>
        <w:spacing w:line="278" w:lineRule="auto"/>
        <w:rPr>
          <w:rFonts w:cs="Arial"/>
        </w:rPr>
      </w:pPr>
      <w:r w:rsidRPr="00921FBE">
        <w:rPr>
          <w:rFonts w:cs="Arial"/>
        </w:rPr>
        <w:t>Remote sensing for water, agriculture, and ecosystem monitoring</w:t>
      </w:r>
    </w:p>
    <w:p w14:paraId="7F12BACD" w14:textId="77777777" w:rsidR="0099600E" w:rsidRPr="00921FBE" w:rsidRDefault="0099600E" w:rsidP="00CB272F">
      <w:pPr>
        <w:numPr>
          <w:ilvl w:val="0"/>
          <w:numId w:val="15"/>
        </w:numPr>
        <w:spacing w:line="278" w:lineRule="auto"/>
        <w:rPr>
          <w:rFonts w:cs="Arial"/>
        </w:rPr>
      </w:pPr>
      <w:r w:rsidRPr="00921FBE">
        <w:rPr>
          <w:rFonts w:cs="Arial"/>
        </w:rPr>
        <w:t>Artificial Intelligence and Machine Learning</w:t>
      </w:r>
    </w:p>
    <w:p w14:paraId="0C95376C" w14:textId="77777777" w:rsidR="0099600E" w:rsidRPr="00921FBE" w:rsidRDefault="0099600E" w:rsidP="00CB272F">
      <w:pPr>
        <w:numPr>
          <w:ilvl w:val="0"/>
          <w:numId w:val="15"/>
        </w:numPr>
        <w:spacing w:line="278" w:lineRule="auto"/>
        <w:rPr>
          <w:rFonts w:cs="Arial"/>
        </w:rPr>
      </w:pPr>
      <w:r w:rsidRPr="00921FBE">
        <w:rPr>
          <w:rFonts w:cs="Arial"/>
        </w:rPr>
        <w:t>Geospatial analytics</w:t>
      </w:r>
    </w:p>
    <w:p w14:paraId="537BE1E8" w14:textId="77777777" w:rsidR="0099600E" w:rsidRPr="00921FBE" w:rsidRDefault="0099600E" w:rsidP="00CB272F">
      <w:pPr>
        <w:numPr>
          <w:ilvl w:val="0"/>
          <w:numId w:val="15"/>
        </w:numPr>
        <w:spacing w:line="278" w:lineRule="auto"/>
        <w:rPr>
          <w:rFonts w:cs="Arial"/>
        </w:rPr>
      </w:pPr>
      <w:r w:rsidRPr="00921FBE">
        <w:rPr>
          <w:rFonts w:cs="Arial"/>
        </w:rPr>
        <w:t>Digital twin technologies</w:t>
      </w:r>
    </w:p>
    <w:p w14:paraId="5296598C" w14:textId="77777777" w:rsidR="0099600E" w:rsidRPr="00921FBE" w:rsidRDefault="0099600E" w:rsidP="00CB272F">
      <w:pPr>
        <w:numPr>
          <w:ilvl w:val="0"/>
          <w:numId w:val="15"/>
        </w:numPr>
        <w:spacing w:line="278" w:lineRule="auto"/>
        <w:rPr>
          <w:rFonts w:cs="Arial"/>
        </w:rPr>
      </w:pPr>
      <w:r w:rsidRPr="00921FBE">
        <w:rPr>
          <w:rFonts w:cs="Arial"/>
        </w:rPr>
        <w:t>Near real-time monitoring platforms</w:t>
      </w:r>
    </w:p>
    <w:p w14:paraId="6CF628A6" w14:textId="77777777" w:rsidR="0099600E" w:rsidRPr="00921FBE" w:rsidRDefault="0099600E" w:rsidP="0099600E">
      <w:pPr>
        <w:rPr>
          <w:rFonts w:cs="Arial"/>
        </w:rPr>
      </w:pPr>
    </w:p>
    <w:p w14:paraId="3A824B83" w14:textId="77777777" w:rsidR="0099600E" w:rsidRPr="00921FBE" w:rsidRDefault="0099600E" w:rsidP="0099600E">
      <w:pPr>
        <w:rPr>
          <w:rFonts w:cs="Arial"/>
          <w:b/>
          <w:bCs/>
        </w:rPr>
      </w:pPr>
      <w:r w:rsidRPr="00921FBE">
        <w:rPr>
          <w:rFonts w:cs="Arial"/>
          <w:b/>
          <w:bCs/>
        </w:rPr>
        <w:t>Expected Impact</w:t>
      </w:r>
    </w:p>
    <w:p w14:paraId="3397A6F3" w14:textId="77777777" w:rsidR="0099600E" w:rsidRPr="00921FBE" w:rsidRDefault="0099600E" w:rsidP="0099600E">
      <w:pPr>
        <w:rPr>
          <w:rFonts w:cs="Arial"/>
        </w:rPr>
      </w:pPr>
      <w:r w:rsidRPr="00921FBE">
        <w:rPr>
          <w:rFonts w:cs="Arial"/>
        </w:rPr>
        <w:t>The solution should help the Coca-Cola system move from periodic watershed assessments to a dynamic, predictive, and decision-oriented approach to water stewardship in the Rio Grande Basin. By integrating Earth Observation and advanced analytics, the project should enable better risk management, more strategic collective action, and more effective investment in long-term water security and basin resilience.</w:t>
      </w:r>
    </w:p>
    <w:p w14:paraId="73849853" w14:textId="3A1C68FD" w:rsidR="00C97349" w:rsidRPr="00921FBE" w:rsidRDefault="00C97349" w:rsidP="0099600E">
      <w:pPr>
        <w:spacing w:after="0" w:line="360" w:lineRule="auto"/>
        <w:jc w:val="both"/>
        <w:rPr>
          <w:rFonts w:cs="Arial"/>
        </w:rPr>
      </w:pPr>
    </w:p>
    <w:p w14:paraId="40D49519" w14:textId="77777777" w:rsidR="00C97349" w:rsidRPr="00921FBE" w:rsidRDefault="00C97349" w:rsidP="00C97349">
      <w:pPr>
        <w:spacing w:after="0" w:line="360" w:lineRule="auto"/>
        <w:jc w:val="both"/>
        <w:rPr>
          <w:rFonts w:cs="Arial"/>
          <w:b/>
          <w:bCs/>
        </w:rPr>
      </w:pPr>
    </w:p>
    <w:p w14:paraId="487C1A2A" w14:textId="1DFC999B" w:rsidR="00C97349" w:rsidRDefault="00C97349" w:rsidP="00C97349">
      <w:pPr>
        <w:pStyle w:val="Heading3"/>
        <w:rPr>
          <w:rFonts w:ascii="Arial" w:eastAsiaTheme="minorHAnsi" w:hAnsi="Arial" w:cs="Arial"/>
          <w:b/>
          <w:i/>
          <w:color w:val="44546A" w:themeColor="text2"/>
          <w:sz w:val="26"/>
          <w:szCs w:val="26"/>
        </w:rPr>
      </w:pPr>
      <w:bookmarkStart w:id="4" w:name="_Toc240133376"/>
      <w:r w:rsidRPr="00921FBE">
        <w:rPr>
          <w:rFonts w:ascii="Arial" w:eastAsiaTheme="minorHAnsi" w:hAnsi="Arial" w:cs="Arial"/>
          <w:b/>
          <w:i/>
          <w:color w:val="44546A" w:themeColor="text2"/>
          <w:sz w:val="26"/>
          <w:szCs w:val="26"/>
        </w:rPr>
        <w:lastRenderedPageBreak/>
        <w:t xml:space="preserve">2.1.2 Use-case #2: </w:t>
      </w:r>
      <w:r w:rsidR="0099600E" w:rsidRPr="00921FBE">
        <w:rPr>
          <w:rFonts w:ascii="Arial" w:eastAsiaTheme="minorHAnsi" w:hAnsi="Arial" w:cs="Arial"/>
          <w:b/>
          <w:i/>
          <w:color w:val="44546A" w:themeColor="text2"/>
          <w:sz w:val="26"/>
          <w:szCs w:val="26"/>
        </w:rPr>
        <w:t>Near Real-Time Satellite Imagery Capability</w:t>
      </w:r>
      <w:bookmarkEnd w:id="4"/>
    </w:p>
    <w:p w14:paraId="2A424DEA" w14:textId="77777777" w:rsidR="00631F5B" w:rsidRPr="00631F5B" w:rsidRDefault="00631F5B" w:rsidP="00631F5B"/>
    <w:p w14:paraId="702615D4" w14:textId="77777777" w:rsidR="0099600E" w:rsidRPr="00921FBE" w:rsidRDefault="0099600E" w:rsidP="0099600E">
      <w:pPr>
        <w:rPr>
          <w:rFonts w:cs="Arial"/>
        </w:rPr>
      </w:pPr>
      <w:r w:rsidRPr="00921FBE">
        <w:rPr>
          <w:rFonts w:cs="Arial"/>
        </w:rPr>
        <w:t xml:space="preserve">The Coca-Cola Company is seeking access to </w:t>
      </w:r>
      <w:r w:rsidRPr="00921FBE">
        <w:rPr>
          <w:rFonts w:cs="Arial"/>
          <w:b/>
          <w:bCs/>
        </w:rPr>
        <w:t>real-time or near real-time commercial satellite imagery and associated analytical capabilities</w:t>
      </w:r>
      <w:r w:rsidRPr="00921FBE">
        <w:rPr>
          <w:rFonts w:cs="Arial"/>
        </w:rPr>
        <w:t xml:space="preserve"> to support the global security and business risk management programs of a multinational company with operations, facilities, personnel, suppliers, and supply-chain dependencies across multiple countries.</w:t>
      </w:r>
    </w:p>
    <w:p w14:paraId="00205810" w14:textId="77777777" w:rsidR="0099600E" w:rsidRPr="00921FBE" w:rsidRDefault="0099600E" w:rsidP="0099600E">
      <w:pPr>
        <w:rPr>
          <w:rFonts w:cs="Arial"/>
        </w:rPr>
      </w:pPr>
      <w:r w:rsidRPr="00921FBE">
        <w:rPr>
          <w:rFonts w:cs="Arial"/>
        </w:rPr>
        <w:t xml:space="preserve">The objective is to provide our security and risk teams with timely, independent situational awareness of events that could affect </w:t>
      </w:r>
      <w:r w:rsidRPr="00921FBE">
        <w:rPr>
          <w:rFonts w:cs="Arial"/>
          <w:b/>
          <w:bCs/>
        </w:rPr>
        <w:t>employee safety, facility security, business continuity, supply chains, transportation routes, and critical infrastructure</w:t>
      </w:r>
      <w:r w:rsidRPr="00921FBE">
        <w:rPr>
          <w:rFonts w:cs="Arial"/>
        </w:rPr>
        <w:t>. The capability should complement existing intelligence, travel security, weather, and geopolitical monitoring programs.</w:t>
      </w:r>
    </w:p>
    <w:p w14:paraId="73DEFC9B" w14:textId="77777777" w:rsidR="0099600E" w:rsidRPr="00921FBE" w:rsidRDefault="0099600E" w:rsidP="0099600E">
      <w:pPr>
        <w:rPr>
          <w:rFonts w:cs="Arial"/>
        </w:rPr>
      </w:pPr>
      <w:r w:rsidRPr="00921FBE">
        <w:rPr>
          <w:rFonts w:cs="Arial"/>
        </w:rPr>
        <w:t>We are particularly interested in solutions capable of providing:</w:t>
      </w:r>
    </w:p>
    <w:p w14:paraId="4C8DB940" w14:textId="77777777" w:rsidR="0099600E" w:rsidRPr="00921FBE" w:rsidRDefault="0099600E" w:rsidP="00CB272F">
      <w:pPr>
        <w:numPr>
          <w:ilvl w:val="0"/>
          <w:numId w:val="19"/>
        </w:numPr>
        <w:spacing w:line="278" w:lineRule="auto"/>
        <w:rPr>
          <w:rFonts w:cs="Arial"/>
        </w:rPr>
      </w:pPr>
      <w:r w:rsidRPr="00921FBE">
        <w:rPr>
          <w:rFonts w:cs="Arial"/>
          <w:b/>
          <w:bCs/>
        </w:rPr>
        <w:t>Rapid collection and delivery</w:t>
      </w:r>
      <w:r w:rsidRPr="00921FBE">
        <w:rPr>
          <w:rFonts w:cs="Arial"/>
        </w:rPr>
        <w:t xml:space="preserve"> of imagery following a significant event, ideally within minutes to several hours where satellite coverage permits.</w:t>
      </w:r>
    </w:p>
    <w:p w14:paraId="7408A689" w14:textId="77777777" w:rsidR="0099600E" w:rsidRPr="00921FBE" w:rsidRDefault="0099600E" w:rsidP="00CB272F">
      <w:pPr>
        <w:numPr>
          <w:ilvl w:val="0"/>
          <w:numId w:val="19"/>
        </w:numPr>
        <w:spacing w:line="278" w:lineRule="auto"/>
        <w:rPr>
          <w:rFonts w:cs="Arial"/>
        </w:rPr>
      </w:pPr>
      <w:r w:rsidRPr="00921FBE">
        <w:rPr>
          <w:rFonts w:cs="Arial"/>
        </w:rPr>
        <w:t>Global coverage, including locations where reliable ground-based information may be limited.</w:t>
      </w:r>
    </w:p>
    <w:p w14:paraId="0AE9D141" w14:textId="77777777" w:rsidR="0099600E" w:rsidRPr="00921FBE" w:rsidRDefault="0099600E" w:rsidP="00CB272F">
      <w:pPr>
        <w:numPr>
          <w:ilvl w:val="0"/>
          <w:numId w:val="19"/>
        </w:numPr>
        <w:spacing w:line="278" w:lineRule="auto"/>
        <w:rPr>
          <w:rFonts w:cs="Arial"/>
        </w:rPr>
      </w:pPr>
      <w:r w:rsidRPr="00921FBE">
        <w:rPr>
          <w:rFonts w:cs="Arial"/>
        </w:rPr>
        <w:t>Sufficient resolution to assess facilities, roads, ports, airports, surrounding areas, and significant changes in activity.</w:t>
      </w:r>
    </w:p>
    <w:p w14:paraId="470D6B47" w14:textId="14A10496" w:rsidR="0099600E" w:rsidRPr="00921FBE" w:rsidRDefault="0099600E" w:rsidP="00CB272F">
      <w:pPr>
        <w:numPr>
          <w:ilvl w:val="0"/>
          <w:numId w:val="19"/>
        </w:numPr>
        <w:spacing w:line="278" w:lineRule="auto"/>
        <w:rPr>
          <w:rFonts w:cs="Arial"/>
        </w:rPr>
      </w:pPr>
      <w:r w:rsidRPr="75BA456D">
        <w:rPr>
          <w:rFonts w:cs="Arial"/>
        </w:rPr>
        <w:t xml:space="preserve">Ability to designate and monitor specific </w:t>
      </w:r>
      <w:r w:rsidRPr="75BA456D">
        <w:rPr>
          <w:rFonts w:cs="Arial"/>
          <w:b/>
          <w:bCs/>
        </w:rPr>
        <w:t>areas of interest</w:t>
      </w:r>
      <w:r w:rsidRPr="75BA456D">
        <w:rPr>
          <w:rFonts w:cs="Arial"/>
        </w:rPr>
        <w:t xml:space="preserve">, including manufacturing plants, offices, warehouses, distribution </w:t>
      </w:r>
      <w:r w:rsidR="527F3EA3" w:rsidRPr="75BA456D">
        <w:rPr>
          <w:rFonts w:cs="Arial"/>
        </w:rPr>
        <w:t>centres</w:t>
      </w:r>
      <w:r w:rsidRPr="75BA456D">
        <w:rPr>
          <w:rFonts w:cs="Arial"/>
        </w:rPr>
        <w:t>, key suppliers, transportation corridors, ports, and other critical infrastructure.</w:t>
      </w:r>
    </w:p>
    <w:p w14:paraId="68D95344" w14:textId="77777777" w:rsidR="0099600E" w:rsidRPr="00921FBE" w:rsidRDefault="0099600E" w:rsidP="00CB272F">
      <w:pPr>
        <w:numPr>
          <w:ilvl w:val="0"/>
          <w:numId w:val="19"/>
        </w:numPr>
        <w:spacing w:line="278" w:lineRule="auto"/>
        <w:rPr>
          <w:rFonts w:cs="Arial"/>
        </w:rPr>
      </w:pPr>
      <w:r w:rsidRPr="00921FBE">
        <w:rPr>
          <w:rFonts w:cs="Arial"/>
        </w:rPr>
        <w:t>Automated change detection, alerts, or analytical products where available.</w:t>
      </w:r>
    </w:p>
    <w:p w14:paraId="745C34B0" w14:textId="77777777" w:rsidR="0099600E" w:rsidRPr="00921FBE" w:rsidRDefault="0099600E" w:rsidP="00CB272F">
      <w:pPr>
        <w:numPr>
          <w:ilvl w:val="0"/>
          <w:numId w:val="19"/>
        </w:numPr>
        <w:spacing w:line="278" w:lineRule="auto"/>
        <w:rPr>
          <w:rFonts w:cs="Arial"/>
        </w:rPr>
      </w:pPr>
      <w:r w:rsidRPr="00921FBE">
        <w:rPr>
          <w:rFonts w:cs="Arial"/>
        </w:rPr>
        <w:t>Both current imagery and access to historical imagery for comparison and trend analysis.</w:t>
      </w:r>
    </w:p>
    <w:p w14:paraId="105E2DBD" w14:textId="77777777" w:rsidR="0099600E" w:rsidRPr="00921FBE" w:rsidRDefault="0099600E" w:rsidP="00CB272F">
      <w:pPr>
        <w:numPr>
          <w:ilvl w:val="0"/>
          <w:numId w:val="19"/>
        </w:numPr>
        <w:spacing w:line="278" w:lineRule="auto"/>
        <w:rPr>
          <w:rFonts w:cs="Arial"/>
        </w:rPr>
      </w:pPr>
      <w:r w:rsidRPr="00921FBE">
        <w:rPr>
          <w:rFonts w:cs="Arial"/>
        </w:rPr>
        <w:t>Secure web-based access and, where available, API/system integration capabilities.</w:t>
      </w:r>
    </w:p>
    <w:p w14:paraId="080D716C" w14:textId="77777777" w:rsidR="0099600E" w:rsidRPr="00921FBE" w:rsidRDefault="0099600E" w:rsidP="0099600E">
      <w:pPr>
        <w:rPr>
          <w:rFonts w:cs="Arial"/>
        </w:rPr>
      </w:pPr>
      <w:r w:rsidRPr="00921FBE">
        <w:rPr>
          <w:rFonts w:cs="Arial"/>
        </w:rPr>
        <w:t>Application:</w:t>
      </w:r>
    </w:p>
    <w:p w14:paraId="06C4F3D6" w14:textId="77777777" w:rsidR="0099600E" w:rsidRPr="00921FBE" w:rsidRDefault="0099600E" w:rsidP="0099600E">
      <w:pPr>
        <w:rPr>
          <w:rFonts w:cs="Arial"/>
        </w:rPr>
      </w:pPr>
      <w:r w:rsidRPr="00921FBE">
        <w:rPr>
          <w:rFonts w:cs="Arial"/>
          <w:b/>
          <w:bCs/>
        </w:rPr>
        <w:t>Civil unrest and political instability:</w:t>
      </w:r>
      <w:r w:rsidRPr="00921FBE">
        <w:rPr>
          <w:rFonts w:cs="Arial"/>
        </w:rPr>
        <w:t xml:space="preserve"> </w:t>
      </w:r>
      <w:proofErr w:type="gramStart"/>
      <w:r w:rsidRPr="00921FBE">
        <w:rPr>
          <w:rFonts w:cs="Arial"/>
        </w:rPr>
        <w:t>Assess road</w:t>
      </w:r>
      <w:proofErr w:type="gramEnd"/>
      <w:r w:rsidRPr="00921FBE">
        <w:rPr>
          <w:rFonts w:cs="Arial"/>
        </w:rPr>
        <w:t xml:space="preserve"> blockages, large gatherings, disruptions near company facilities, border crossings, airports, or transportation corridors when reliable local reporting is unavailable.</w:t>
      </w:r>
    </w:p>
    <w:p w14:paraId="4CCB03AD" w14:textId="77777777" w:rsidR="0099600E" w:rsidRPr="00921FBE" w:rsidRDefault="0099600E" w:rsidP="0099600E">
      <w:pPr>
        <w:rPr>
          <w:rFonts w:cs="Arial"/>
        </w:rPr>
      </w:pPr>
      <w:r w:rsidRPr="00921FBE">
        <w:rPr>
          <w:rFonts w:cs="Arial"/>
          <w:b/>
          <w:bCs/>
        </w:rPr>
        <w:t>Natural disasters:</w:t>
      </w:r>
      <w:r w:rsidRPr="00921FBE">
        <w:rPr>
          <w:rFonts w:cs="Arial"/>
        </w:rPr>
        <w:t xml:space="preserve"> Rapidly assess the impact of hurricanes, floods, earthquakes, wildfires, or other events on facilities, surrounding communities, roads, ports, utilities, and critical suppliers.</w:t>
      </w:r>
    </w:p>
    <w:p w14:paraId="2358E0C3" w14:textId="77777777" w:rsidR="0099600E" w:rsidRPr="00921FBE" w:rsidRDefault="0099600E" w:rsidP="0099600E">
      <w:pPr>
        <w:rPr>
          <w:rFonts w:cs="Arial"/>
        </w:rPr>
      </w:pPr>
      <w:r w:rsidRPr="00921FBE">
        <w:rPr>
          <w:rFonts w:cs="Arial"/>
          <w:b/>
          <w:bCs/>
        </w:rPr>
        <w:t>Facility and personnel security:</w:t>
      </w:r>
      <w:r w:rsidRPr="00921FBE">
        <w:rPr>
          <w:rFonts w:cs="Arial"/>
        </w:rPr>
        <w:t xml:space="preserve"> Provide situational awareness around facilities during elevated threat periods, including changes in access routes, nearby activity, physical damage, or other external conditions that could affect personnel or operations.</w:t>
      </w:r>
    </w:p>
    <w:p w14:paraId="23B3554F" w14:textId="77777777" w:rsidR="0099600E" w:rsidRPr="00921FBE" w:rsidRDefault="0099600E" w:rsidP="0099600E">
      <w:pPr>
        <w:rPr>
          <w:rFonts w:cs="Arial"/>
        </w:rPr>
      </w:pPr>
      <w:r w:rsidRPr="00921FBE">
        <w:rPr>
          <w:rFonts w:cs="Arial"/>
          <w:b/>
          <w:bCs/>
        </w:rPr>
        <w:lastRenderedPageBreak/>
        <w:t>Supply-chain disruption:</w:t>
      </w:r>
      <w:r w:rsidRPr="00921FBE">
        <w:rPr>
          <w:rFonts w:cs="Arial"/>
        </w:rPr>
        <w:t xml:space="preserve"> Evaluate conditions at ports, logistics hubs, rail corridors, highways, supplier locations, and other critical nodes following a disruption or emerging crisis.</w:t>
      </w:r>
    </w:p>
    <w:p w14:paraId="31DC8194" w14:textId="77777777" w:rsidR="0099600E" w:rsidRPr="00921FBE" w:rsidRDefault="0099600E" w:rsidP="0099600E">
      <w:pPr>
        <w:rPr>
          <w:rFonts w:cs="Arial"/>
        </w:rPr>
      </w:pPr>
      <w:r w:rsidRPr="00921FBE">
        <w:rPr>
          <w:rFonts w:cs="Arial"/>
          <w:b/>
          <w:bCs/>
        </w:rPr>
        <w:t>Business continuity and recovery:</w:t>
      </w:r>
      <w:r w:rsidRPr="00921FBE">
        <w:rPr>
          <w:rFonts w:cs="Arial"/>
        </w:rPr>
        <w:t xml:space="preserve"> Determine the apparent physical condition and accessibility of company or supplier facilities following an incident and support prioritization of response, recovery, and alternative sourcing decisions.</w:t>
      </w:r>
    </w:p>
    <w:p w14:paraId="7363E859" w14:textId="77777777" w:rsidR="0099600E" w:rsidRPr="00921FBE" w:rsidRDefault="0099600E" w:rsidP="0099600E">
      <w:pPr>
        <w:rPr>
          <w:rFonts w:cs="Arial"/>
        </w:rPr>
      </w:pPr>
      <w:r w:rsidRPr="00921FBE">
        <w:rPr>
          <w:rFonts w:cs="Arial"/>
          <w:b/>
          <w:bCs/>
        </w:rPr>
        <w:t>Geopolitical and regional risk:</w:t>
      </w:r>
      <w:r w:rsidRPr="00921FBE">
        <w:rPr>
          <w:rFonts w:cs="Arial"/>
        </w:rPr>
        <w:t xml:space="preserve"> Monitor observable developments affecting strategically important locations </w:t>
      </w:r>
      <w:proofErr w:type="gramStart"/>
      <w:r w:rsidRPr="00921FBE">
        <w:rPr>
          <w:rFonts w:cs="Arial"/>
        </w:rPr>
        <w:t>where</w:t>
      </w:r>
      <w:proofErr w:type="gramEnd"/>
      <w:r w:rsidRPr="00921FBE">
        <w:rPr>
          <w:rFonts w:cs="Arial"/>
        </w:rPr>
        <w:t xml:space="preserve"> political, military, or security conditions may create potential operational exposure.</w:t>
      </w:r>
    </w:p>
    <w:p w14:paraId="5AD59983" w14:textId="77777777" w:rsidR="0099600E" w:rsidRPr="00921FBE" w:rsidRDefault="0099600E" w:rsidP="0099600E">
      <w:pPr>
        <w:rPr>
          <w:rFonts w:cs="Arial"/>
        </w:rPr>
      </w:pPr>
      <w:r w:rsidRPr="00921FBE">
        <w:rPr>
          <w:rFonts w:cs="Arial"/>
        </w:rPr>
        <w:t>Our "challenge" is to determine how commercial satellite imagery can be incorporated into a broader global security and enterprise risk management framework to improve early warning, incident assessment, executive decision-making, and operational resilience.</w:t>
      </w:r>
    </w:p>
    <w:p w14:paraId="3A265EB1" w14:textId="77777777" w:rsidR="0099600E" w:rsidRPr="00921FBE" w:rsidRDefault="0099600E" w:rsidP="0099600E">
      <w:pPr>
        <w:rPr>
          <w:rFonts w:cs="Arial"/>
        </w:rPr>
      </w:pPr>
    </w:p>
    <w:p w14:paraId="6D84B656" w14:textId="610FEF7E" w:rsidR="005F68FB" w:rsidRPr="00921FBE" w:rsidRDefault="005F68FB" w:rsidP="00631F5B">
      <w:pPr>
        <w:pStyle w:val="Heading02"/>
        <w:numPr>
          <w:ilvl w:val="0"/>
          <w:numId w:val="0"/>
        </w:numPr>
        <w:ind w:left="471" w:hanging="471"/>
      </w:pPr>
      <w:bookmarkStart w:id="5" w:name="_Toc240133377"/>
      <w:r w:rsidRPr="00921FBE">
        <w:t xml:space="preserve">2.2 </w:t>
      </w:r>
      <w:r w:rsidR="0099600E" w:rsidRPr="00921FBE">
        <w:t>Galp</w:t>
      </w:r>
      <w:bookmarkEnd w:id="5"/>
    </w:p>
    <w:p w14:paraId="0D4489C5" w14:textId="0B2A7EE8" w:rsidR="005F68FB" w:rsidRPr="00921FBE" w:rsidRDefault="005F68FB" w:rsidP="000009EA">
      <w:pPr>
        <w:pStyle w:val="Heading3"/>
        <w:rPr>
          <w:rFonts w:ascii="Arial" w:eastAsiaTheme="minorHAnsi" w:hAnsi="Arial" w:cs="Arial"/>
          <w:b/>
          <w:i/>
          <w:color w:val="44546A" w:themeColor="text2"/>
          <w:sz w:val="26"/>
          <w:szCs w:val="26"/>
        </w:rPr>
      </w:pPr>
      <w:bookmarkStart w:id="6" w:name="_Toc240133378"/>
      <w:r w:rsidRPr="00921FBE">
        <w:rPr>
          <w:rFonts w:ascii="Arial" w:eastAsiaTheme="minorHAnsi" w:hAnsi="Arial" w:cs="Arial"/>
          <w:b/>
          <w:i/>
          <w:color w:val="44546A" w:themeColor="text2"/>
          <w:sz w:val="26"/>
          <w:szCs w:val="26"/>
        </w:rPr>
        <w:t xml:space="preserve">2.2.1 Use-case #1: </w:t>
      </w:r>
      <w:r w:rsidR="0099600E" w:rsidRPr="00921FBE">
        <w:rPr>
          <w:rFonts w:ascii="Arial" w:eastAsiaTheme="minorHAnsi" w:hAnsi="Arial" w:cs="Arial"/>
          <w:b/>
          <w:i/>
          <w:color w:val="44546A" w:themeColor="text2"/>
          <w:sz w:val="26"/>
          <w:szCs w:val="26"/>
        </w:rPr>
        <w:t>Soiling Intelligence</w:t>
      </w:r>
      <w:bookmarkEnd w:id="6"/>
    </w:p>
    <w:p w14:paraId="16D23535" w14:textId="77777777" w:rsidR="0099600E" w:rsidRPr="00921FBE" w:rsidRDefault="0099600E" w:rsidP="0099600E">
      <w:pPr>
        <w:rPr>
          <w:rFonts w:cs="Arial"/>
        </w:rPr>
      </w:pPr>
    </w:p>
    <w:p w14:paraId="2B1B1242" w14:textId="18D74DD9" w:rsidR="0099600E" w:rsidRPr="00921FBE" w:rsidRDefault="0099600E" w:rsidP="0099600E">
      <w:pPr>
        <w:rPr>
          <w:rFonts w:cs="Arial"/>
        </w:rPr>
      </w:pPr>
      <w:r w:rsidRPr="00921FBE">
        <w:rPr>
          <w:rFonts w:cs="Arial"/>
        </w:rPr>
        <w:t xml:space="preserve">Soiling (the accumulation of dust and particles on photovoltaic panels) is a relevant operational and economic challenge for </w:t>
      </w:r>
      <w:proofErr w:type="spellStart"/>
      <w:r w:rsidRPr="00921FBE">
        <w:rPr>
          <w:rFonts w:cs="Arial"/>
        </w:rPr>
        <w:t>Galp's</w:t>
      </w:r>
      <w:proofErr w:type="spellEnd"/>
      <w:r w:rsidRPr="00921FBE">
        <w:rPr>
          <w:rFonts w:cs="Arial"/>
        </w:rPr>
        <w:t xml:space="preserve"> solar assets, particularly in the Iberian Peninsula, where recurrent Saharan dust transport episodes reduce output by both scattering incoming radiation and depositing particles on the modules. The challenge is to develop intelligent models combining satellite observations, weather forecasts, rainfall events and operational asset data to predict soiling accumulation and quantify its impact on production. Economic factors, such as energy prices and the value of recovered generation, should also be considered to support data-driven decisions on when and where cleaning activities create the highest value.</w:t>
      </w:r>
    </w:p>
    <w:p w14:paraId="48982F3D" w14:textId="77777777" w:rsidR="0099600E" w:rsidRPr="00921FBE" w:rsidRDefault="0099600E" w:rsidP="0099600E">
      <w:pPr>
        <w:rPr>
          <w:rFonts w:cs="Arial"/>
        </w:rPr>
      </w:pPr>
      <w:r w:rsidRPr="00921FBE">
        <w:rPr>
          <w:rFonts w:cs="Arial"/>
        </w:rPr>
        <w:t>Note: Space-based Earth observation - The Copernicus Atmosphere Monitoring Service (CAMS) already provides operational forecasts of atmospheric dust load — including the Saharan dust transport that most affects the Iberian Peninsula — which could be combined with local weather (notably rainfall-driven natural cleaning) and asset-level generation data to move from atmospheric forecasts toward an actionable prediction of soiling-related production loss at the plant level.</w:t>
      </w:r>
    </w:p>
    <w:p w14:paraId="29496251" w14:textId="77777777" w:rsidR="005F68FB" w:rsidRPr="00921FBE" w:rsidRDefault="005F68FB" w:rsidP="005F68FB">
      <w:pPr>
        <w:spacing w:after="0" w:line="360" w:lineRule="auto"/>
        <w:jc w:val="both"/>
        <w:rPr>
          <w:rFonts w:cs="Arial"/>
          <w:b/>
          <w:bCs/>
        </w:rPr>
      </w:pPr>
    </w:p>
    <w:p w14:paraId="7C0C0390" w14:textId="7CF9466B" w:rsidR="0099600E" w:rsidRPr="00921FBE" w:rsidRDefault="005F68FB" w:rsidP="0099600E">
      <w:pPr>
        <w:pStyle w:val="Heading3"/>
        <w:rPr>
          <w:rFonts w:ascii="Arial" w:eastAsiaTheme="minorHAnsi" w:hAnsi="Arial" w:cs="Arial"/>
          <w:b/>
          <w:i/>
          <w:color w:val="44546A" w:themeColor="text2"/>
          <w:sz w:val="26"/>
          <w:szCs w:val="26"/>
        </w:rPr>
      </w:pPr>
      <w:bookmarkStart w:id="7" w:name="_Toc240133379"/>
      <w:r w:rsidRPr="00921FBE">
        <w:rPr>
          <w:rFonts w:ascii="Arial" w:eastAsiaTheme="minorHAnsi" w:hAnsi="Arial" w:cs="Arial"/>
          <w:b/>
          <w:i/>
          <w:color w:val="44546A" w:themeColor="text2"/>
          <w:sz w:val="26"/>
          <w:szCs w:val="26"/>
        </w:rPr>
        <w:t xml:space="preserve">2.2.2 Use-case #2: </w:t>
      </w:r>
      <w:r w:rsidR="0099600E" w:rsidRPr="00921FBE">
        <w:rPr>
          <w:rFonts w:ascii="Arial" w:eastAsiaTheme="minorHAnsi" w:hAnsi="Arial" w:cs="Arial"/>
          <w:b/>
          <w:i/>
          <w:color w:val="44546A" w:themeColor="text2"/>
          <w:sz w:val="26"/>
          <w:szCs w:val="26"/>
        </w:rPr>
        <w:t>Curtailment Forecasting</w:t>
      </w:r>
      <w:bookmarkEnd w:id="7"/>
    </w:p>
    <w:p w14:paraId="6AFD7751" w14:textId="77777777" w:rsidR="0099600E" w:rsidRPr="00921FBE" w:rsidRDefault="0099600E" w:rsidP="0099600E">
      <w:pPr>
        <w:rPr>
          <w:rFonts w:cs="Arial"/>
        </w:rPr>
      </w:pPr>
    </w:p>
    <w:p w14:paraId="14E038FF" w14:textId="7129C87E" w:rsidR="0099600E" w:rsidRPr="00921FBE" w:rsidRDefault="0099600E" w:rsidP="0099600E">
      <w:pPr>
        <w:rPr>
          <w:rFonts w:cs="Arial"/>
        </w:rPr>
      </w:pPr>
      <w:r w:rsidRPr="00921FBE">
        <w:rPr>
          <w:rFonts w:cs="Arial"/>
        </w:rPr>
        <w:t xml:space="preserve">Grid curtailment risk has become a growing constraint for renewable operators as increasing renewable penetration places pressure on network infrastructure. The challenge is to build predictive and probabilistic models capable of assessing where and when curtailment is likely </w:t>
      </w:r>
      <w:r w:rsidRPr="00921FBE">
        <w:rPr>
          <w:rFonts w:cs="Arial"/>
        </w:rPr>
        <w:lastRenderedPageBreak/>
        <w:t>to occur, supporting operational decisions such as battery dispatch, generation management and market participation. In addition, longer-term forecasting capabilities are of interest to assess how curtailment risk may evolve at the grid nodes where Galp operates, supporting strategic decisions related to budgeting, repowering, hybridization, storage deployment and future project development.</w:t>
      </w:r>
    </w:p>
    <w:p w14:paraId="36403C24" w14:textId="4E1293B1" w:rsidR="0099600E" w:rsidRPr="00921FBE" w:rsidRDefault="0099600E" w:rsidP="0099600E">
      <w:pPr>
        <w:pStyle w:val="Heading3"/>
        <w:rPr>
          <w:rFonts w:ascii="Arial" w:eastAsiaTheme="minorHAnsi" w:hAnsi="Arial" w:cs="Arial"/>
          <w:b/>
          <w:i/>
          <w:color w:val="44546A" w:themeColor="text2"/>
          <w:sz w:val="26"/>
          <w:szCs w:val="26"/>
        </w:rPr>
      </w:pPr>
      <w:bookmarkStart w:id="8" w:name="_Toc240133380"/>
      <w:r w:rsidRPr="00921FBE">
        <w:rPr>
          <w:rFonts w:ascii="Arial" w:eastAsiaTheme="minorHAnsi" w:hAnsi="Arial" w:cs="Arial"/>
          <w:b/>
          <w:i/>
          <w:color w:val="44546A" w:themeColor="text2"/>
          <w:sz w:val="26"/>
          <w:szCs w:val="26"/>
        </w:rPr>
        <w:t>2.2.3 Use-case #3: Digital Twins</w:t>
      </w:r>
      <w:bookmarkEnd w:id="8"/>
    </w:p>
    <w:p w14:paraId="626FAC17" w14:textId="77777777" w:rsidR="0099600E" w:rsidRPr="00921FBE" w:rsidRDefault="0099600E" w:rsidP="0099600E">
      <w:pPr>
        <w:rPr>
          <w:rFonts w:cs="Arial"/>
        </w:rPr>
      </w:pPr>
    </w:p>
    <w:p w14:paraId="61A51D68" w14:textId="30D7D0BD" w:rsidR="0099600E" w:rsidRPr="00921FBE" w:rsidRDefault="0099600E" w:rsidP="0099600E">
      <w:pPr>
        <w:rPr>
          <w:rFonts w:cs="Arial"/>
        </w:rPr>
      </w:pPr>
      <w:r w:rsidRPr="00921FBE">
        <w:rPr>
          <w:rFonts w:cs="Arial"/>
        </w:rPr>
        <w:t>Develop operational digital twins and advanced loss analytics models capable of creating a detailed digital representation of renewable assets and benchmarking different approaches for performance assessment. Key areas of interest include soiling losses, reactive power management, temperature deratings, turbine wake and turbulence effects, DC-side health, inverter clipping and other operational performance drivers. The objective is to improve loss attribution, performance monitoring and operational decision-making across the portfolio.</w:t>
      </w:r>
    </w:p>
    <w:p w14:paraId="01592AAB" w14:textId="77777777" w:rsidR="0099600E" w:rsidRPr="00921FBE" w:rsidRDefault="0099600E" w:rsidP="0099600E">
      <w:pPr>
        <w:rPr>
          <w:rFonts w:cs="Arial"/>
        </w:rPr>
      </w:pPr>
    </w:p>
    <w:p w14:paraId="031ACA23" w14:textId="536EF043" w:rsidR="0099600E" w:rsidRPr="00921FBE" w:rsidRDefault="0099600E" w:rsidP="0099600E">
      <w:pPr>
        <w:pStyle w:val="Heading3"/>
        <w:rPr>
          <w:rFonts w:ascii="Arial" w:eastAsiaTheme="minorHAnsi" w:hAnsi="Arial" w:cs="Arial"/>
          <w:b/>
          <w:i/>
          <w:color w:val="44546A" w:themeColor="text2"/>
          <w:sz w:val="26"/>
          <w:szCs w:val="26"/>
        </w:rPr>
      </w:pPr>
      <w:bookmarkStart w:id="9" w:name="_Toc240133381"/>
      <w:r w:rsidRPr="00921FBE">
        <w:rPr>
          <w:rFonts w:ascii="Arial" w:eastAsiaTheme="minorHAnsi" w:hAnsi="Arial" w:cs="Arial"/>
          <w:b/>
          <w:i/>
          <w:color w:val="44546A" w:themeColor="text2"/>
          <w:sz w:val="26"/>
          <w:szCs w:val="26"/>
        </w:rPr>
        <w:t>2.2.4 Use-case #4: Hybrid Asset Optimization</w:t>
      </w:r>
      <w:bookmarkEnd w:id="9"/>
    </w:p>
    <w:p w14:paraId="389EC991" w14:textId="77777777" w:rsidR="0099600E" w:rsidRPr="00921FBE" w:rsidRDefault="0099600E" w:rsidP="0099600E">
      <w:pPr>
        <w:rPr>
          <w:rFonts w:cs="Arial"/>
        </w:rPr>
      </w:pPr>
    </w:p>
    <w:p w14:paraId="79485D59" w14:textId="77777777" w:rsidR="0099600E" w:rsidRPr="00921FBE" w:rsidRDefault="0099600E" w:rsidP="0099600E">
      <w:pPr>
        <w:rPr>
          <w:rFonts w:cs="Arial"/>
        </w:rPr>
      </w:pPr>
      <w:r w:rsidRPr="00921FBE">
        <w:rPr>
          <w:rFonts w:cs="Arial"/>
        </w:rPr>
        <w:t>As renewable generation becomes increasingly integrated with storage assets, there is a growing need for advanced forecasting and optimization tools capable of maximizing asset value across multiple energy markets. The challenge is to develop models that support participation in intraday, continuous, secondary reserve, tertiary reserve and congestion management mechanisms, optimizing dispatch strategies and enhancing the economic performance of hybrid renewable and battery assets.</w:t>
      </w:r>
    </w:p>
    <w:p w14:paraId="3C468AD2" w14:textId="77777777" w:rsidR="0099600E" w:rsidRPr="00921FBE" w:rsidRDefault="0099600E" w:rsidP="0099600E">
      <w:pPr>
        <w:rPr>
          <w:rFonts w:cs="Arial"/>
        </w:rPr>
      </w:pPr>
    </w:p>
    <w:p w14:paraId="35C94DAC" w14:textId="68EDC1AA" w:rsidR="0099600E" w:rsidRPr="00921FBE" w:rsidRDefault="0099600E" w:rsidP="0099600E">
      <w:pPr>
        <w:pStyle w:val="Heading3"/>
        <w:rPr>
          <w:rFonts w:ascii="Arial" w:eastAsiaTheme="minorHAnsi" w:hAnsi="Arial" w:cs="Arial"/>
          <w:b/>
          <w:i/>
          <w:color w:val="44546A" w:themeColor="text2"/>
          <w:sz w:val="26"/>
          <w:szCs w:val="26"/>
        </w:rPr>
      </w:pPr>
      <w:bookmarkStart w:id="10" w:name="_Toc240133382"/>
      <w:r w:rsidRPr="00921FBE">
        <w:rPr>
          <w:rFonts w:ascii="Arial" w:eastAsiaTheme="minorHAnsi" w:hAnsi="Arial" w:cs="Arial"/>
          <w:b/>
          <w:i/>
          <w:color w:val="44546A" w:themeColor="text2"/>
          <w:sz w:val="26"/>
          <w:szCs w:val="26"/>
        </w:rPr>
        <w:t>2.2.5 Use-case #5: Predictive Maintenance</w:t>
      </w:r>
      <w:bookmarkEnd w:id="10"/>
    </w:p>
    <w:p w14:paraId="0883516F" w14:textId="77777777" w:rsidR="0099600E" w:rsidRPr="00921FBE" w:rsidRDefault="0099600E" w:rsidP="0099600E">
      <w:pPr>
        <w:rPr>
          <w:rFonts w:cs="Arial"/>
        </w:rPr>
      </w:pPr>
    </w:p>
    <w:p w14:paraId="12CA80E7" w14:textId="1DA971E6" w:rsidR="0099600E" w:rsidRPr="00921FBE" w:rsidRDefault="0099600E" w:rsidP="0099600E">
      <w:pPr>
        <w:rPr>
          <w:rFonts w:cs="Arial"/>
        </w:rPr>
      </w:pPr>
      <w:r w:rsidRPr="00921FBE">
        <w:rPr>
          <w:rFonts w:cs="Arial"/>
        </w:rPr>
        <w:t xml:space="preserve">Apply artificial intelligence and machine-learning techniques to operational data streams, including SCADA measurements, alarms and equipment monitoring signals, to predict failures and degradation before they occur. Potential applications include solar inverters, battery systems and wind turbines. The objective is to enable proactive maintenance, reduce downtime, improve asset reliability and optimize maintenance planning across </w:t>
      </w:r>
      <w:proofErr w:type="spellStart"/>
      <w:r w:rsidRPr="00921FBE">
        <w:rPr>
          <w:rFonts w:cs="Arial"/>
        </w:rPr>
        <w:t>Galp's</w:t>
      </w:r>
      <w:proofErr w:type="spellEnd"/>
      <w:r w:rsidRPr="00921FBE">
        <w:rPr>
          <w:rFonts w:cs="Arial"/>
        </w:rPr>
        <w:t xml:space="preserve"> renewable fleet.</w:t>
      </w:r>
    </w:p>
    <w:p w14:paraId="0C31FF90" w14:textId="77777777" w:rsidR="00C97349" w:rsidRDefault="00C97349" w:rsidP="001F7505">
      <w:pPr>
        <w:spacing w:after="0" w:line="360" w:lineRule="auto"/>
        <w:jc w:val="both"/>
        <w:rPr>
          <w:rFonts w:cs="Arial"/>
        </w:rPr>
      </w:pPr>
    </w:p>
    <w:p w14:paraId="0AFFE711" w14:textId="77777777" w:rsidR="00631F5B" w:rsidRDefault="00631F5B" w:rsidP="001F7505">
      <w:pPr>
        <w:spacing w:after="0" w:line="360" w:lineRule="auto"/>
        <w:jc w:val="both"/>
        <w:rPr>
          <w:rFonts w:cs="Arial"/>
        </w:rPr>
      </w:pPr>
    </w:p>
    <w:p w14:paraId="258CEBC3" w14:textId="77777777" w:rsidR="00631F5B" w:rsidRDefault="00631F5B" w:rsidP="001F7505">
      <w:pPr>
        <w:spacing w:after="0" w:line="360" w:lineRule="auto"/>
        <w:jc w:val="both"/>
        <w:rPr>
          <w:rFonts w:cs="Arial"/>
        </w:rPr>
      </w:pPr>
    </w:p>
    <w:p w14:paraId="1C798C02" w14:textId="77777777" w:rsidR="00631F5B" w:rsidRDefault="00631F5B" w:rsidP="001F7505">
      <w:pPr>
        <w:spacing w:after="0" w:line="360" w:lineRule="auto"/>
        <w:jc w:val="both"/>
        <w:rPr>
          <w:rFonts w:cs="Arial"/>
        </w:rPr>
      </w:pPr>
    </w:p>
    <w:p w14:paraId="60531003" w14:textId="77777777" w:rsidR="00631F5B" w:rsidRPr="00921FBE" w:rsidRDefault="00631F5B" w:rsidP="001F7505">
      <w:pPr>
        <w:spacing w:after="0" w:line="360" w:lineRule="auto"/>
        <w:jc w:val="both"/>
        <w:rPr>
          <w:rFonts w:cs="Arial"/>
        </w:rPr>
      </w:pPr>
    </w:p>
    <w:p w14:paraId="308A9ADC" w14:textId="08AE1A0B" w:rsidR="00F778CE" w:rsidRPr="00921FBE" w:rsidRDefault="004A2105" w:rsidP="00447CE5">
      <w:pPr>
        <w:pStyle w:val="Heading02"/>
        <w:numPr>
          <w:ilvl w:val="0"/>
          <w:numId w:val="0"/>
        </w:numPr>
        <w:ind w:left="471" w:hanging="471"/>
      </w:pPr>
      <w:bookmarkStart w:id="11" w:name="_Toc240133383"/>
      <w:r w:rsidRPr="00921FBE">
        <w:lastRenderedPageBreak/>
        <w:t>2.</w:t>
      </w:r>
      <w:r w:rsidR="005F68FB" w:rsidRPr="00921FBE">
        <w:t>3</w:t>
      </w:r>
      <w:r w:rsidRPr="00921FBE">
        <w:t xml:space="preserve"> </w:t>
      </w:r>
      <w:r w:rsidR="0099600E" w:rsidRPr="00921FBE">
        <w:t>Tomorrowland/</w:t>
      </w:r>
      <w:r w:rsidR="00540656" w:rsidRPr="00921FBE">
        <w:t>Love Tomorrow</w:t>
      </w:r>
      <w:bookmarkEnd w:id="11"/>
    </w:p>
    <w:p w14:paraId="2919FF7C" w14:textId="6AB9D32A" w:rsidR="00540656" w:rsidRPr="00921FBE" w:rsidRDefault="00540656" w:rsidP="00540656">
      <w:pPr>
        <w:pStyle w:val="Heading3"/>
        <w:rPr>
          <w:rFonts w:ascii="Arial" w:eastAsiaTheme="minorHAnsi" w:hAnsi="Arial" w:cs="Arial"/>
          <w:b/>
          <w:i/>
          <w:color w:val="44546A" w:themeColor="text2"/>
          <w:sz w:val="26"/>
          <w:szCs w:val="26"/>
        </w:rPr>
      </w:pPr>
      <w:bookmarkStart w:id="12" w:name="_Toc240133384"/>
      <w:r w:rsidRPr="00921FBE">
        <w:rPr>
          <w:rFonts w:ascii="Arial" w:eastAsiaTheme="minorHAnsi" w:hAnsi="Arial" w:cs="Arial"/>
          <w:b/>
          <w:i/>
          <w:color w:val="44546A" w:themeColor="text2"/>
          <w:sz w:val="26"/>
          <w:szCs w:val="26"/>
        </w:rPr>
        <w:t>2.</w:t>
      </w:r>
      <w:r w:rsidR="005F68FB" w:rsidRPr="00921FBE">
        <w:rPr>
          <w:rFonts w:ascii="Arial" w:eastAsiaTheme="minorHAnsi" w:hAnsi="Arial" w:cs="Arial"/>
          <w:b/>
          <w:i/>
          <w:color w:val="44546A" w:themeColor="text2"/>
          <w:sz w:val="26"/>
          <w:szCs w:val="26"/>
        </w:rPr>
        <w:t>3</w:t>
      </w:r>
      <w:r w:rsidRPr="00921FBE">
        <w:rPr>
          <w:rFonts w:ascii="Arial" w:eastAsiaTheme="minorHAnsi" w:hAnsi="Arial" w:cs="Arial"/>
          <w:b/>
          <w:i/>
          <w:color w:val="44546A" w:themeColor="text2"/>
          <w:sz w:val="26"/>
          <w:szCs w:val="26"/>
        </w:rPr>
        <w:t>.</w:t>
      </w:r>
      <w:r w:rsidR="00C97349" w:rsidRPr="00921FBE">
        <w:rPr>
          <w:rFonts w:ascii="Arial" w:eastAsiaTheme="minorHAnsi" w:hAnsi="Arial" w:cs="Arial"/>
          <w:b/>
          <w:i/>
          <w:color w:val="44546A" w:themeColor="text2"/>
          <w:sz w:val="26"/>
          <w:szCs w:val="26"/>
        </w:rPr>
        <w:t>1</w:t>
      </w:r>
      <w:r w:rsidRPr="00921FBE">
        <w:rPr>
          <w:rFonts w:ascii="Arial" w:eastAsiaTheme="minorHAnsi" w:hAnsi="Arial" w:cs="Arial"/>
          <w:b/>
          <w:i/>
          <w:color w:val="44546A" w:themeColor="text2"/>
          <w:sz w:val="26"/>
          <w:szCs w:val="26"/>
        </w:rPr>
        <w:t xml:space="preserve"> </w:t>
      </w:r>
      <w:r w:rsidR="00CE2A7F" w:rsidRPr="00921FBE">
        <w:rPr>
          <w:rFonts w:ascii="Arial" w:eastAsiaTheme="minorHAnsi" w:hAnsi="Arial" w:cs="Arial"/>
          <w:b/>
          <w:i/>
          <w:color w:val="44546A" w:themeColor="text2"/>
          <w:sz w:val="26"/>
          <w:szCs w:val="26"/>
        </w:rPr>
        <w:t>Use-case #1</w:t>
      </w:r>
      <w:r w:rsidRPr="00921FBE">
        <w:rPr>
          <w:rFonts w:ascii="Arial" w:eastAsiaTheme="minorHAnsi" w:hAnsi="Arial" w:cs="Arial"/>
          <w:b/>
          <w:i/>
          <w:color w:val="44546A" w:themeColor="text2"/>
          <w:sz w:val="26"/>
          <w:szCs w:val="26"/>
        </w:rPr>
        <w:t xml:space="preserve">: </w:t>
      </w:r>
      <w:r w:rsidR="0099600E" w:rsidRPr="00921FBE">
        <w:rPr>
          <w:rFonts w:ascii="Arial" w:eastAsiaTheme="minorHAnsi" w:hAnsi="Arial" w:cs="Arial"/>
          <w:b/>
          <w:i/>
          <w:color w:val="44546A" w:themeColor="text2"/>
          <w:sz w:val="26"/>
          <w:szCs w:val="26"/>
        </w:rPr>
        <w:t>Water Resilience and Environmental Stewardship</w:t>
      </w:r>
      <w:bookmarkEnd w:id="12"/>
    </w:p>
    <w:p w14:paraId="41039C00" w14:textId="77777777" w:rsidR="0099600E" w:rsidRPr="00921FBE" w:rsidRDefault="0099600E" w:rsidP="0099600E">
      <w:pPr>
        <w:rPr>
          <w:rFonts w:cs="Arial"/>
        </w:rPr>
      </w:pPr>
      <w:bookmarkStart w:id="13" w:name="_Hlk196731578"/>
      <w:proofErr w:type="gramStart"/>
      <w:r w:rsidRPr="00921FBE">
        <w:rPr>
          <w:rFonts w:cs="Arial"/>
          <w:b/>
          <w:bCs/>
          <w:lang w:val="en-US"/>
        </w:rPr>
        <w:t xml:space="preserve">Problem  </w:t>
      </w:r>
      <w:r w:rsidRPr="00921FBE">
        <w:rPr>
          <w:rFonts w:cs="Arial"/>
          <w:lang w:val="en-US"/>
        </w:rPr>
        <w:t>Large</w:t>
      </w:r>
      <w:proofErr w:type="gramEnd"/>
      <w:r w:rsidRPr="00921FBE">
        <w:rPr>
          <w:rFonts w:cs="Arial"/>
          <w:lang w:val="en-US"/>
        </w:rPr>
        <w:t xml:space="preserve"> temporary event sites create significant and fluctuating demands on local water systems, while current monitoring focuses mainly </w:t>
      </w:r>
      <w:proofErr w:type="gramStart"/>
      <w:r w:rsidRPr="00921FBE">
        <w:rPr>
          <w:rFonts w:cs="Arial"/>
          <w:lang w:val="en-US"/>
        </w:rPr>
        <w:t>on site</w:t>
      </w:r>
      <w:proofErr w:type="gramEnd"/>
      <w:r w:rsidRPr="00921FBE">
        <w:rPr>
          <w:rFonts w:cs="Arial"/>
          <w:lang w:val="en-US"/>
        </w:rPr>
        <w:t xml:space="preserve"> consumption rather than catchment health, drought risk, wastewater impacts and biodiversity.</w:t>
      </w:r>
      <w:r w:rsidRPr="00921FBE">
        <w:rPr>
          <w:rFonts w:cs="Arial"/>
        </w:rPr>
        <w:t> </w:t>
      </w:r>
    </w:p>
    <w:p w14:paraId="42848F21" w14:textId="77777777" w:rsidR="0099600E" w:rsidRPr="00921FBE" w:rsidRDefault="0099600E" w:rsidP="0099600E">
      <w:pPr>
        <w:rPr>
          <w:rFonts w:cs="Arial"/>
        </w:rPr>
      </w:pPr>
      <w:proofErr w:type="gramStart"/>
      <w:r w:rsidRPr="00921FBE">
        <w:rPr>
          <w:rFonts w:cs="Arial"/>
          <w:b/>
          <w:bCs/>
          <w:lang w:val="en-US"/>
        </w:rPr>
        <w:t xml:space="preserve">Goal  </w:t>
      </w:r>
      <w:r w:rsidRPr="00921FBE">
        <w:rPr>
          <w:rFonts w:cs="Arial"/>
          <w:lang w:val="en-US"/>
        </w:rPr>
        <w:t>Manage</w:t>
      </w:r>
      <w:proofErr w:type="gramEnd"/>
      <w:r w:rsidRPr="00921FBE">
        <w:rPr>
          <w:rFonts w:cs="Arial"/>
          <w:lang w:val="en-US"/>
        </w:rPr>
        <w:t xml:space="preserve"> the event’s wider water and environmental impact by linking abstraction, storage, reuse and discharge with the condition of the surrounding catchment, and by enabling cooperation with local authorities and utilities beyond the event period.</w:t>
      </w:r>
      <w:r w:rsidRPr="00921FBE">
        <w:rPr>
          <w:rFonts w:cs="Arial"/>
        </w:rPr>
        <w:t> </w:t>
      </w:r>
    </w:p>
    <w:p w14:paraId="7273CABD" w14:textId="77777777" w:rsidR="0099600E" w:rsidRPr="00921FBE" w:rsidRDefault="0099600E" w:rsidP="0099600E">
      <w:pPr>
        <w:rPr>
          <w:rFonts w:cs="Arial"/>
        </w:rPr>
      </w:pPr>
      <w:r w:rsidRPr="00921FBE">
        <w:rPr>
          <w:rFonts w:cs="Arial"/>
          <w:b/>
          <w:bCs/>
          <w:lang w:val="en-US"/>
        </w:rPr>
        <w:t xml:space="preserve">Role of </w:t>
      </w:r>
      <w:proofErr w:type="gramStart"/>
      <w:r w:rsidRPr="00921FBE">
        <w:rPr>
          <w:rFonts w:cs="Arial"/>
          <w:b/>
          <w:bCs/>
          <w:lang w:val="en-US"/>
        </w:rPr>
        <w:t xml:space="preserve">space  </w:t>
      </w:r>
      <w:r w:rsidRPr="00921FBE">
        <w:rPr>
          <w:rFonts w:cs="Arial"/>
          <w:lang w:val="en-US"/>
        </w:rPr>
        <w:t>Earth</w:t>
      </w:r>
      <w:proofErr w:type="gramEnd"/>
      <w:r w:rsidRPr="00921FBE">
        <w:rPr>
          <w:rFonts w:cs="Arial"/>
          <w:lang w:val="en-US"/>
        </w:rPr>
        <w:t xml:space="preserve"> observation can support catchment, drought, land-use, vegetation and biodiversity monitoring; satellite communications can connect dispersed sensors; and GNSS can geolocate assets, observations and interventions.</w:t>
      </w:r>
      <w:r w:rsidRPr="00921FBE">
        <w:rPr>
          <w:rFonts w:cs="Arial"/>
        </w:rPr>
        <w:t> </w:t>
      </w:r>
    </w:p>
    <w:p w14:paraId="5F35A820" w14:textId="77777777" w:rsidR="0099600E" w:rsidRPr="00921FBE" w:rsidRDefault="0099600E" w:rsidP="0099600E">
      <w:pPr>
        <w:rPr>
          <w:rFonts w:cs="Arial"/>
        </w:rPr>
      </w:pPr>
      <w:r w:rsidRPr="00921FBE">
        <w:rPr>
          <w:rFonts w:cs="Arial"/>
          <w:b/>
          <w:bCs/>
          <w:lang w:val="en-US"/>
        </w:rPr>
        <w:t>Solutions may include:</w:t>
      </w:r>
      <w:r w:rsidRPr="00921FBE">
        <w:rPr>
          <w:rFonts w:cs="Arial"/>
        </w:rPr>
        <w:t> </w:t>
      </w:r>
    </w:p>
    <w:p w14:paraId="287FAA05" w14:textId="77777777" w:rsidR="0099600E" w:rsidRPr="00921FBE" w:rsidRDefault="0099600E" w:rsidP="00CB272F">
      <w:pPr>
        <w:numPr>
          <w:ilvl w:val="0"/>
          <w:numId w:val="20"/>
        </w:numPr>
        <w:spacing w:line="278" w:lineRule="auto"/>
        <w:rPr>
          <w:rFonts w:cs="Arial"/>
        </w:rPr>
      </w:pPr>
      <w:r w:rsidRPr="00921FBE">
        <w:rPr>
          <w:rFonts w:cs="Arial"/>
          <w:lang w:val="en-US"/>
        </w:rPr>
        <w:t>Catchment and drought forecasting linked to event demand</w:t>
      </w:r>
      <w:r w:rsidRPr="00921FBE">
        <w:rPr>
          <w:rFonts w:cs="Arial"/>
        </w:rPr>
        <w:t> </w:t>
      </w:r>
    </w:p>
    <w:p w14:paraId="44AA45DA" w14:textId="77777777" w:rsidR="0099600E" w:rsidRPr="00921FBE" w:rsidRDefault="0099600E" w:rsidP="00CB272F">
      <w:pPr>
        <w:numPr>
          <w:ilvl w:val="0"/>
          <w:numId w:val="21"/>
        </w:numPr>
        <w:spacing w:line="278" w:lineRule="auto"/>
        <w:rPr>
          <w:rFonts w:cs="Arial"/>
        </w:rPr>
      </w:pPr>
      <w:r w:rsidRPr="00921FBE">
        <w:rPr>
          <w:rFonts w:cs="Arial"/>
          <w:lang w:val="en-US"/>
        </w:rPr>
        <w:t>Water-quality, wastewater and environmental-impact monitoring</w:t>
      </w:r>
      <w:r w:rsidRPr="00921FBE">
        <w:rPr>
          <w:rFonts w:cs="Arial"/>
        </w:rPr>
        <w:t> </w:t>
      </w:r>
    </w:p>
    <w:p w14:paraId="53469356" w14:textId="77777777" w:rsidR="0099600E" w:rsidRPr="00921FBE" w:rsidRDefault="0099600E" w:rsidP="00CB272F">
      <w:pPr>
        <w:numPr>
          <w:ilvl w:val="0"/>
          <w:numId w:val="22"/>
        </w:numPr>
        <w:spacing w:line="278" w:lineRule="auto"/>
        <w:rPr>
          <w:rFonts w:cs="Arial"/>
        </w:rPr>
      </w:pPr>
      <w:r w:rsidRPr="00921FBE">
        <w:rPr>
          <w:rFonts w:cs="Arial"/>
          <w:lang w:val="en-US"/>
        </w:rPr>
        <w:t>Biodiversity and habitat monitoring around the site</w:t>
      </w:r>
      <w:r w:rsidRPr="00921FBE">
        <w:rPr>
          <w:rFonts w:cs="Arial"/>
        </w:rPr>
        <w:t> </w:t>
      </w:r>
    </w:p>
    <w:p w14:paraId="558F2D99" w14:textId="77777777" w:rsidR="0099600E" w:rsidRPr="00921FBE" w:rsidRDefault="0099600E" w:rsidP="00CB272F">
      <w:pPr>
        <w:numPr>
          <w:ilvl w:val="0"/>
          <w:numId w:val="23"/>
        </w:numPr>
        <w:spacing w:line="278" w:lineRule="auto"/>
        <w:rPr>
          <w:rFonts w:cs="Arial"/>
        </w:rPr>
      </w:pPr>
      <w:r w:rsidRPr="00921FBE">
        <w:rPr>
          <w:rFonts w:cs="Arial"/>
          <w:lang w:val="en-US"/>
        </w:rPr>
        <w:t>Shared data services for the festival, municipality, province, water authority and other local stakeholders</w:t>
      </w:r>
      <w:r w:rsidRPr="00921FBE">
        <w:rPr>
          <w:rFonts w:cs="Arial"/>
        </w:rPr>
        <w:t> </w:t>
      </w:r>
    </w:p>
    <w:p w14:paraId="693D0F61" w14:textId="07297BBB" w:rsidR="00540656" w:rsidRPr="00921FBE" w:rsidRDefault="00540656" w:rsidP="000009EA">
      <w:pPr>
        <w:pStyle w:val="Heading3"/>
        <w:rPr>
          <w:rFonts w:ascii="Arial" w:eastAsiaTheme="minorHAnsi" w:hAnsi="Arial" w:cs="Arial"/>
          <w:b/>
          <w:i/>
          <w:color w:val="44546A" w:themeColor="text2"/>
          <w:sz w:val="26"/>
          <w:szCs w:val="26"/>
        </w:rPr>
      </w:pPr>
      <w:bookmarkStart w:id="14" w:name="_Toc240133385"/>
      <w:r w:rsidRPr="00921FBE">
        <w:rPr>
          <w:rFonts w:ascii="Arial" w:eastAsiaTheme="minorHAnsi" w:hAnsi="Arial" w:cs="Arial"/>
          <w:b/>
          <w:i/>
          <w:color w:val="44546A" w:themeColor="text2"/>
          <w:sz w:val="26"/>
          <w:szCs w:val="26"/>
        </w:rPr>
        <w:t>2.</w:t>
      </w:r>
      <w:r w:rsidR="005F68FB" w:rsidRPr="00921FBE">
        <w:rPr>
          <w:rFonts w:ascii="Arial" w:eastAsiaTheme="minorHAnsi" w:hAnsi="Arial" w:cs="Arial"/>
          <w:b/>
          <w:i/>
          <w:color w:val="44546A" w:themeColor="text2"/>
          <w:sz w:val="26"/>
          <w:szCs w:val="26"/>
        </w:rPr>
        <w:t>3</w:t>
      </w:r>
      <w:r w:rsidRPr="00921FBE">
        <w:rPr>
          <w:rFonts w:ascii="Arial" w:eastAsiaTheme="minorHAnsi" w:hAnsi="Arial" w:cs="Arial"/>
          <w:b/>
          <w:i/>
          <w:color w:val="44546A" w:themeColor="text2"/>
          <w:sz w:val="26"/>
          <w:szCs w:val="26"/>
        </w:rPr>
        <w:t xml:space="preserve">.2 </w:t>
      </w:r>
      <w:bookmarkEnd w:id="13"/>
      <w:r w:rsidR="00CE2A7F" w:rsidRPr="00921FBE">
        <w:rPr>
          <w:rFonts w:ascii="Arial" w:eastAsiaTheme="minorHAnsi" w:hAnsi="Arial" w:cs="Arial"/>
          <w:b/>
          <w:i/>
          <w:color w:val="44546A" w:themeColor="text2"/>
          <w:sz w:val="26"/>
          <w:szCs w:val="26"/>
        </w:rPr>
        <w:t>Use-case</w:t>
      </w:r>
      <w:r w:rsidRPr="00921FBE">
        <w:rPr>
          <w:rFonts w:ascii="Arial" w:eastAsiaTheme="minorHAnsi" w:hAnsi="Arial" w:cs="Arial"/>
          <w:b/>
          <w:i/>
          <w:color w:val="44546A" w:themeColor="text2"/>
          <w:sz w:val="26"/>
          <w:szCs w:val="26"/>
        </w:rPr>
        <w:t xml:space="preserve"> </w:t>
      </w:r>
      <w:r w:rsidR="00CE2A7F" w:rsidRPr="00921FBE">
        <w:rPr>
          <w:rFonts w:ascii="Arial" w:eastAsiaTheme="minorHAnsi" w:hAnsi="Arial" w:cs="Arial"/>
          <w:b/>
          <w:i/>
          <w:color w:val="44546A" w:themeColor="text2"/>
          <w:sz w:val="26"/>
          <w:szCs w:val="26"/>
        </w:rPr>
        <w:t>#</w:t>
      </w:r>
      <w:r w:rsidRPr="00921FBE">
        <w:rPr>
          <w:rFonts w:ascii="Arial" w:eastAsiaTheme="minorHAnsi" w:hAnsi="Arial" w:cs="Arial"/>
          <w:b/>
          <w:i/>
          <w:color w:val="44546A" w:themeColor="text2"/>
          <w:sz w:val="26"/>
          <w:szCs w:val="26"/>
        </w:rPr>
        <w:t xml:space="preserve">2: </w:t>
      </w:r>
      <w:r w:rsidR="0099600E" w:rsidRPr="00921FBE">
        <w:rPr>
          <w:rFonts w:ascii="Arial" w:eastAsiaTheme="minorHAnsi" w:hAnsi="Arial" w:cs="Arial"/>
          <w:b/>
          <w:i/>
          <w:color w:val="44546A" w:themeColor="text2"/>
          <w:sz w:val="26"/>
          <w:szCs w:val="26"/>
        </w:rPr>
        <w:t>Sustainable Mobility, Logistics and Supply-Chain Intelligence</w:t>
      </w:r>
      <w:bookmarkEnd w:id="14"/>
    </w:p>
    <w:p w14:paraId="39CF0F18" w14:textId="77777777" w:rsidR="0099600E" w:rsidRPr="00921FBE" w:rsidRDefault="0099600E" w:rsidP="0099600E">
      <w:pPr>
        <w:rPr>
          <w:rFonts w:cs="Arial"/>
        </w:rPr>
      </w:pPr>
      <w:proofErr w:type="gramStart"/>
      <w:r w:rsidRPr="00921FBE">
        <w:rPr>
          <w:rFonts w:cs="Arial"/>
          <w:b/>
          <w:bCs/>
          <w:lang w:val="en-US"/>
        </w:rPr>
        <w:t xml:space="preserve">Problem  </w:t>
      </w:r>
      <w:r w:rsidRPr="00921FBE">
        <w:rPr>
          <w:rFonts w:cs="Arial"/>
          <w:lang w:val="en-US"/>
        </w:rPr>
        <w:t>The</w:t>
      </w:r>
      <w:proofErr w:type="gramEnd"/>
      <w:r w:rsidRPr="00921FBE">
        <w:rPr>
          <w:rFonts w:cs="Arial"/>
          <w:lang w:val="en-US"/>
        </w:rPr>
        <w:t xml:space="preserve"> movement of visitors, temporary infrastructure, supplies and equipment is planned </w:t>
      </w:r>
      <w:proofErr w:type="gramStart"/>
      <w:r w:rsidRPr="00921FBE">
        <w:rPr>
          <w:rFonts w:cs="Arial"/>
          <w:lang w:val="en-US"/>
        </w:rPr>
        <w:t>using</w:t>
      </w:r>
      <w:proofErr w:type="gramEnd"/>
      <w:r w:rsidRPr="00921FBE">
        <w:rPr>
          <w:rFonts w:cs="Arial"/>
          <w:lang w:val="en-US"/>
        </w:rPr>
        <w:t xml:space="preserve"> fragmented datasets. The travel patterns of many visitors remain unknown, while the location, condition, timing and environmental cost of logistics are difficult to assess consistently.</w:t>
      </w:r>
      <w:r w:rsidRPr="00921FBE">
        <w:rPr>
          <w:rFonts w:cs="Arial"/>
        </w:rPr>
        <w:t> </w:t>
      </w:r>
    </w:p>
    <w:p w14:paraId="5782E33C" w14:textId="77777777" w:rsidR="0099600E" w:rsidRPr="00921FBE" w:rsidRDefault="0099600E" w:rsidP="0099600E">
      <w:pPr>
        <w:rPr>
          <w:rFonts w:cs="Arial"/>
        </w:rPr>
      </w:pPr>
      <w:proofErr w:type="gramStart"/>
      <w:r w:rsidRPr="00921FBE">
        <w:rPr>
          <w:rFonts w:cs="Arial"/>
          <w:b/>
          <w:bCs/>
          <w:lang w:val="en-US"/>
        </w:rPr>
        <w:t xml:space="preserve">Goal  </w:t>
      </w:r>
      <w:r w:rsidRPr="00921FBE">
        <w:rPr>
          <w:rFonts w:cs="Arial"/>
          <w:lang w:val="en-US"/>
        </w:rPr>
        <w:t>Create</w:t>
      </w:r>
      <w:proofErr w:type="gramEnd"/>
      <w:r w:rsidRPr="00921FBE">
        <w:rPr>
          <w:rFonts w:cs="Arial"/>
          <w:lang w:val="en-US"/>
        </w:rPr>
        <w:t xml:space="preserve"> an integrated view of visitor mobility and supply-chain operations to improve planning, traceability, transport efficiency and sustainability, while enabling measurable interventions that influence travel and logistics decisions.</w:t>
      </w:r>
      <w:r w:rsidRPr="00921FBE">
        <w:rPr>
          <w:rFonts w:cs="Arial"/>
        </w:rPr>
        <w:t> </w:t>
      </w:r>
    </w:p>
    <w:p w14:paraId="535454A1" w14:textId="77777777" w:rsidR="0099600E" w:rsidRPr="00921FBE" w:rsidRDefault="0099600E" w:rsidP="0099600E">
      <w:pPr>
        <w:rPr>
          <w:rFonts w:cs="Arial"/>
        </w:rPr>
      </w:pPr>
      <w:r w:rsidRPr="00921FBE">
        <w:rPr>
          <w:rFonts w:cs="Arial"/>
          <w:b/>
          <w:bCs/>
          <w:lang w:val="en-US"/>
        </w:rPr>
        <w:t xml:space="preserve">Role of </w:t>
      </w:r>
      <w:proofErr w:type="gramStart"/>
      <w:r w:rsidRPr="00921FBE">
        <w:rPr>
          <w:rFonts w:cs="Arial"/>
          <w:b/>
          <w:bCs/>
          <w:lang w:val="en-US"/>
        </w:rPr>
        <w:t xml:space="preserve">space  </w:t>
      </w:r>
      <w:r w:rsidRPr="00921FBE">
        <w:rPr>
          <w:rFonts w:cs="Arial"/>
          <w:lang w:val="en-US"/>
        </w:rPr>
        <w:t>GNSS</w:t>
      </w:r>
      <w:proofErr w:type="gramEnd"/>
      <w:r w:rsidRPr="00921FBE">
        <w:rPr>
          <w:rFonts w:cs="Arial"/>
          <w:lang w:val="en-US"/>
        </w:rPr>
        <w:t xml:space="preserve"> can provide positioning and movement data; Earth observation can add land-use, access, traffic-context and environmental information; and satellite communications can maintain connectivity for mobile or remote assets.</w:t>
      </w:r>
      <w:r w:rsidRPr="00921FBE">
        <w:rPr>
          <w:rFonts w:cs="Arial"/>
        </w:rPr>
        <w:t> </w:t>
      </w:r>
    </w:p>
    <w:p w14:paraId="653F8A8A" w14:textId="77777777" w:rsidR="0099600E" w:rsidRPr="00921FBE" w:rsidRDefault="0099600E" w:rsidP="0099600E">
      <w:pPr>
        <w:rPr>
          <w:rFonts w:cs="Arial"/>
        </w:rPr>
      </w:pPr>
      <w:r w:rsidRPr="00921FBE">
        <w:rPr>
          <w:rFonts w:cs="Arial"/>
          <w:b/>
          <w:bCs/>
          <w:lang w:val="en-US"/>
        </w:rPr>
        <w:t>Solutions may include:</w:t>
      </w:r>
      <w:r w:rsidRPr="00921FBE">
        <w:rPr>
          <w:rFonts w:cs="Arial"/>
        </w:rPr>
        <w:t> </w:t>
      </w:r>
    </w:p>
    <w:p w14:paraId="51B2B91B" w14:textId="77777777" w:rsidR="0099600E" w:rsidRPr="00921FBE" w:rsidRDefault="0099600E" w:rsidP="00CB272F">
      <w:pPr>
        <w:numPr>
          <w:ilvl w:val="0"/>
          <w:numId w:val="24"/>
        </w:numPr>
        <w:spacing w:line="278" w:lineRule="auto"/>
        <w:rPr>
          <w:rFonts w:cs="Arial"/>
        </w:rPr>
      </w:pPr>
      <w:r w:rsidRPr="00921FBE">
        <w:rPr>
          <w:rFonts w:cs="Arial"/>
          <w:lang w:val="en-US"/>
        </w:rPr>
        <w:t>Visitor travel analysis and sustainable transport interventions</w:t>
      </w:r>
      <w:r w:rsidRPr="00921FBE">
        <w:rPr>
          <w:rFonts w:cs="Arial"/>
        </w:rPr>
        <w:t> </w:t>
      </w:r>
    </w:p>
    <w:p w14:paraId="50742D01" w14:textId="77777777" w:rsidR="0099600E" w:rsidRPr="00921FBE" w:rsidRDefault="0099600E" w:rsidP="00CB272F">
      <w:pPr>
        <w:numPr>
          <w:ilvl w:val="0"/>
          <w:numId w:val="25"/>
        </w:numPr>
        <w:spacing w:line="278" w:lineRule="auto"/>
        <w:rPr>
          <w:rFonts w:cs="Arial"/>
        </w:rPr>
      </w:pPr>
      <w:r w:rsidRPr="00921FBE">
        <w:rPr>
          <w:rFonts w:cs="Arial"/>
          <w:lang w:val="en-US"/>
        </w:rPr>
        <w:t>Tracking of modular infrastructure, vehicles and high-value equipment</w:t>
      </w:r>
      <w:r w:rsidRPr="00921FBE">
        <w:rPr>
          <w:rFonts w:cs="Arial"/>
        </w:rPr>
        <w:t> </w:t>
      </w:r>
    </w:p>
    <w:p w14:paraId="13EF644B" w14:textId="77777777" w:rsidR="0099600E" w:rsidRPr="00921FBE" w:rsidRDefault="0099600E" w:rsidP="00CB272F">
      <w:pPr>
        <w:numPr>
          <w:ilvl w:val="0"/>
          <w:numId w:val="26"/>
        </w:numPr>
        <w:spacing w:line="278" w:lineRule="auto"/>
        <w:rPr>
          <w:rFonts w:cs="Arial"/>
        </w:rPr>
      </w:pPr>
      <w:r w:rsidRPr="00921FBE">
        <w:rPr>
          <w:rFonts w:cs="Arial"/>
          <w:lang w:val="en-US"/>
        </w:rPr>
        <w:t>Supply-chain traceability for food, fashion, construction materials and festival equipment</w:t>
      </w:r>
      <w:r w:rsidRPr="00921FBE">
        <w:rPr>
          <w:rFonts w:cs="Arial"/>
        </w:rPr>
        <w:t> </w:t>
      </w:r>
    </w:p>
    <w:p w14:paraId="61E75E6C" w14:textId="77777777" w:rsidR="0099600E" w:rsidRPr="00921FBE" w:rsidRDefault="0099600E" w:rsidP="00CB272F">
      <w:pPr>
        <w:numPr>
          <w:ilvl w:val="0"/>
          <w:numId w:val="27"/>
        </w:numPr>
        <w:spacing w:line="278" w:lineRule="auto"/>
        <w:rPr>
          <w:rFonts w:cs="Arial"/>
        </w:rPr>
      </w:pPr>
      <w:r w:rsidRPr="00921FBE">
        <w:rPr>
          <w:rFonts w:cs="Arial"/>
          <w:lang w:val="en-US"/>
        </w:rPr>
        <w:t>Scenario modelling for future mobility, autonomous vehicles or drone logistics</w:t>
      </w:r>
      <w:r w:rsidRPr="00921FBE">
        <w:rPr>
          <w:rFonts w:cs="Arial"/>
        </w:rPr>
        <w:t> </w:t>
      </w:r>
    </w:p>
    <w:p w14:paraId="6D655809" w14:textId="23CD556A" w:rsidR="007E4E17" w:rsidRPr="00921FBE" w:rsidRDefault="007E4E17" w:rsidP="0099600E">
      <w:pPr>
        <w:spacing w:before="100" w:beforeAutospacing="1" w:after="100" w:afterAutospacing="1"/>
        <w:rPr>
          <w:rFonts w:cs="Arial"/>
        </w:rPr>
      </w:pPr>
    </w:p>
    <w:p w14:paraId="42FB38F4" w14:textId="52A53B90" w:rsidR="0099600E" w:rsidRPr="00921FBE" w:rsidRDefault="0099600E" w:rsidP="0099600E">
      <w:pPr>
        <w:pStyle w:val="Heading3"/>
        <w:rPr>
          <w:rFonts w:ascii="Arial" w:eastAsiaTheme="minorHAnsi" w:hAnsi="Arial" w:cs="Arial"/>
          <w:b/>
          <w:i/>
          <w:color w:val="44546A" w:themeColor="text2"/>
          <w:sz w:val="26"/>
          <w:szCs w:val="26"/>
        </w:rPr>
      </w:pPr>
      <w:bookmarkStart w:id="15" w:name="_Toc240133386"/>
      <w:r w:rsidRPr="00921FBE">
        <w:rPr>
          <w:rFonts w:ascii="Arial" w:eastAsiaTheme="minorHAnsi" w:hAnsi="Arial" w:cs="Arial"/>
          <w:b/>
          <w:i/>
          <w:color w:val="44546A" w:themeColor="text2"/>
          <w:sz w:val="26"/>
          <w:szCs w:val="26"/>
        </w:rPr>
        <w:t>2.3.3 Use-case #3: Autonomous Sustainability Intelligence</w:t>
      </w:r>
      <w:bookmarkEnd w:id="15"/>
    </w:p>
    <w:p w14:paraId="552097F8" w14:textId="77777777" w:rsidR="0099600E" w:rsidRPr="00921FBE" w:rsidRDefault="0099600E" w:rsidP="0099600E">
      <w:pPr>
        <w:rPr>
          <w:rFonts w:cs="Arial"/>
        </w:rPr>
      </w:pPr>
      <w:proofErr w:type="gramStart"/>
      <w:r w:rsidRPr="00921FBE">
        <w:rPr>
          <w:rFonts w:cs="Arial"/>
          <w:b/>
          <w:bCs/>
          <w:lang w:val="en-US"/>
        </w:rPr>
        <w:t xml:space="preserve">Problem  </w:t>
      </w:r>
      <w:r w:rsidRPr="00921FBE">
        <w:rPr>
          <w:rFonts w:cs="Arial"/>
          <w:lang w:val="en-US"/>
        </w:rPr>
        <w:t>Core</w:t>
      </w:r>
      <w:proofErr w:type="gramEnd"/>
      <w:r w:rsidRPr="00921FBE">
        <w:rPr>
          <w:rFonts w:cs="Arial"/>
          <w:lang w:val="en-US"/>
        </w:rPr>
        <w:t xml:space="preserve"> sustainability indicators are assembled manually from separate sources, often after the event. This limits real-time decision-making, independent verification and the ability to communicate progress meaningfully to operational teams, partners and visitors.</w:t>
      </w:r>
      <w:r w:rsidRPr="00921FBE">
        <w:rPr>
          <w:rFonts w:cs="Arial"/>
        </w:rPr>
        <w:t> </w:t>
      </w:r>
    </w:p>
    <w:p w14:paraId="5E72EE11" w14:textId="77777777" w:rsidR="0099600E" w:rsidRPr="00921FBE" w:rsidRDefault="0099600E" w:rsidP="0099600E">
      <w:pPr>
        <w:rPr>
          <w:rFonts w:cs="Arial"/>
        </w:rPr>
      </w:pPr>
      <w:proofErr w:type="gramStart"/>
      <w:r w:rsidRPr="00921FBE">
        <w:rPr>
          <w:rFonts w:cs="Arial"/>
          <w:b/>
          <w:bCs/>
          <w:lang w:val="en-US"/>
        </w:rPr>
        <w:t xml:space="preserve">Goal  </w:t>
      </w:r>
      <w:r w:rsidRPr="00921FBE">
        <w:rPr>
          <w:rFonts w:cs="Arial"/>
          <w:lang w:val="en-US"/>
        </w:rPr>
        <w:t>Develop</w:t>
      </w:r>
      <w:proofErr w:type="gramEnd"/>
      <w:r w:rsidRPr="00921FBE">
        <w:rPr>
          <w:rFonts w:cs="Arial"/>
          <w:lang w:val="en-US"/>
        </w:rPr>
        <w:t xml:space="preserve"> a continuously updated sustainability-intelligence capability that automates data collection, calculates auditable indicators and turns operational data into timely, actionable information.</w:t>
      </w:r>
      <w:r w:rsidRPr="00921FBE">
        <w:rPr>
          <w:rFonts w:cs="Arial"/>
        </w:rPr>
        <w:t> </w:t>
      </w:r>
    </w:p>
    <w:p w14:paraId="7A23EE5E" w14:textId="77777777" w:rsidR="0099600E" w:rsidRPr="00921FBE" w:rsidRDefault="0099600E" w:rsidP="0099600E">
      <w:pPr>
        <w:rPr>
          <w:rFonts w:cs="Arial"/>
        </w:rPr>
      </w:pPr>
      <w:r w:rsidRPr="00921FBE">
        <w:rPr>
          <w:rFonts w:cs="Arial"/>
          <w:b/>
          <w:bCs/>
          <w:lang w:val="en-US"/>
        </w:rPr>
        <w:t xml:space="preserve">Role of </w:t>
      </w:r>
      <w:proofErr w:type="gramStart"/>
      <w:r w:rsidRPr="00921FBE">
        <w:rPr>
          <w:rFonts w:cs="Arial"/>
          <w:b/>
          <w:bCs/>
          <w:lang w:val="en-US"/>
        </w:rPr>
        <w:t xml:space="preserve">space  </w:t>
      </w:r>
      <w:r w:rsidRPr="00921FBE">
        <w:rPr>
          <w:rFonts w:cs="Arial"/>
          <w:lang w:val="en-US"/>
        </w:rPr>
        <w:t>Earth</w:t>
      </w:r>
      <w:proofErr w:type="gramEnd"/>
      <w:r w:rsidRPr="00921FBE">
        <w:rPr>
          <w:rFonts w:cs="Arial"/>
          <w:lang w:val="en-US"/>
        </w:rPr>
        <w:t xml:space="preserve"> observation can provide environmental context and change detection; GNSS can locate assets and activities; and satellite communications can integrate field data where terrestrial connectivity is limited or temporary.</w:t>
      </w:r>
      <w:r w:rsidRPr="00921FBE">
        <w:rPr>
          <w:rFonts w:cs="Arial"/>
        </w:rPr>
        <w:t> </w:t>
      </w:r>
    </w:p>
    <w:p w14:paraId="4F7C9771" w14:textId="77777777" w:rsidR="0099600E" w:rsidRPr="00921FBE" w:rsidRDefault="0099600E" w:rsidP="0099600E">
      <w:pPr>
        <w:rPr>
          <w:rFonts w:cs="Arial"/>
        </w:rPr>
      </w:pPr>
      <w:r w:rsidRPr="00921FBE">
        <w:rPr>
          <w:rFonts w:cs="Arial"/>
          <w:b/>
          <w:bCs/>
          <w:lang w:val="en-US"/>
        </w:rPr>
        <w:t>Solutions may include:</w:t>
      </w:r>
      <w:r w:rsidRPr="00921FBE">
        <w:rPr>
          <w:rFonts w:cs="Arial"/>
        </w:rPr>
        <w:t> </w:t>
      </w:r>
    </w:p>
    <w:p w14:paraId="79CA974C" w14:textId="77777777" w:rsidR="0099600E" w:rsidRPr="00921FBE" w:rsidRDefault="0099600E" w:rsidP="00CB272F">
      <w:pPr>
        <w:numPr>
          <w:ilvl w:val="0"/>
          <w:numId w:val="28"/>
        </w:numPr>
        <w:spacing w:line="278" w:lineRule="auto"/>
        <w:rPr>
          <w:rFonts w:cs="Arial"/>
        </w:rPr>
      </w:pPr>
      <w:r w:rsidRPr="00921FBE">
        <w:rPr>
          <w:rFonts w:cs="Arial"/>
          <w:lang w:val="en-US"/>
        </w:rPr>
        <w:t>Automated carbon, energy, water, mobility and waste indicators</w:t>
      </w:r>
      <w:r w:rsidRPr="00921FBE">
        <w:rPr>
          <w:rFonts w:cs="Arial"/>
        </w:rPr>
        <w:t> </w:t>
      </w:r>
    </w:p>
    <w:p w14:paraId="6C1B4939" w14:textId="77777777" w:rsidR="0099600E" w:rsidRPr="00921FBE" w:rsidRDefault="0099600E" w:rsidP="00CB272F">
      <w:pPr>
        <w:numPr>
          <w:ilvl w:val="0"/>
          <w:numId w:val="29"/>
        </w:numPr>
        <w:spacing w:line="278" w:lineRule="auto"/>
        <w:rPr>
          <w:rFonts w:cs="Arial"/>
        </w:rPr>
      </w:pPr>
      <w:r w:rsidRPr="00921FBE">
        <w:rPr>
          <w:rFonts w:cs="Arial"/>
          <w:lang w:val="en-US"/>
        </w:rPr>
        <w:t>Campsite waste or litter detection and operational alerts</w:t>
      </w:r>
      <w:r w:rsidRPr="00921FBE">
        <w:rPr>
          <w:rFonts w:cs="Arial"/>
        </w:rPr>
        <w:t> </w:t>
      </w:r>
    </w:p>
    <w:p w14:paraId="6DD51168" w14:textId="77777777" w:rsidR="0099600E" w:rsidRPr="00921FBE" w:rsidRDefault="0099600E" w:rsidP="00CB272F">
      <w:pPr>
        <w:numPr>
          <w:ilvl w:val="0"/>
          <w:numId w:val="30"/>
        </w:numPr>
        <w:spacing w:line="278" w:lineRule="auto"/>
        <w:rPr>
          <w:rFonts w:cs="Arial"/>
        </w:rPr>
      </w:pPr>
      <w:proofErr w:type="spellStart"/>
      <w:r w:rsidRPr="00921FBE">
        <w:rPr>
          <w:rFonts w:cs="Arial"/>
          <w:lang w:val="en-US"/>
        </w:rPr>
        <w:t>Recomputable</w:t>
      </w:r>
      <w:proofErr w:type="spellEnd"/>
      <w:r w:rsidRPr="00921FBE">
        <w:rPr>
          <w:rFonts w:cs="Arial"/>
          <w:lang w:val="en-US"/>
        </w:rPr>
        <w:t xml:space="preserve"> dashboards with transparent data provenance</w:t>
      </w:r>
      <w:r w:rsidRPr="00921FBE">
        <w:rPr>
          <w:rFonts w:cs="Arial"/>
        </w:rPr>
        <w:t> </w:t>
      </w:r>
    </w:p>
    <w:p w14:paraId="2209ACCF" w14:textId="77777777" w:rsidR="0099600E" w:rsidRPr="00921FBE" w:rsidRDefault="0099600E" w:rsidP="00CB272F">
      <w:pPr>
        <w:numPr>
          <w:ilvl w:val="0"/>
          <w:numId w:val="31"/>
        </w:numPr>
        <w:spacing w:line="278" w:lineRule="auto"/>
        <w:rPr>
          <w:rFonts w:cs="Arial"/>
        </w:rPr>
      </w:pPr>
      <w:r w:rsidRPr="00921FBE">
        <w:rPr>
          <w:rFonts w:cs="Arial"/>
          <w:lang w:val="en-US"/>
        </w:rPr>
        <w:t>Audience-facing sustainability metrics and engagement tools</w:t>
      </w:r>
      <w:r w:rsidRPr="00921FBE">
        <w:rPr>
          <w:rFonts w:cs="Arial"/>
        </w:rPr>
        <w:t> </w:t>
      </w:r>
    </w:p>
    <w:p w14:paraId="18E8876B" w14:textId="77777777" w:rsidR="0099600E" w:rsidRPr="00921FBE" w:rsidRDefault="0099600E" w:rsidP="0099600E">
      <w:pPr>
        <w:rPr>
          <w:rFonts w:cs="Arial"/>
        </w:rPr>
      </w:pPr>
    </w:p>
    <w:p w14:paraId="3AC4CB06" w14:textId="0166D340" w:rsidR="0099600E" w:rsidRDefault="0099600E" w:rsidP="0099600E">
      <w:pPr>
        <w:pStyle w:val="Heading3"/>
        <w:rPr>
          <w:rFonts w:ascii="Arial" w:eastAsiaTheme="minorHAnsi" w:hAnsi="Arial" w:cs="Arial"/>
          <w:b/>
          <w:i/>
          <w:color w:val="44546A" w:themeColor="text2"/>
          <w:sz w:val="26"/>
          <w:szCs w:val="26"/>
        </w:rPr>
      </w:pPr>
      <w:bookmarkStart w:id="16" w:name="_Toc240133387"/>
      <w:r w:rsidRPr="00921FBE">
        <w:rPr>
          <w:rFonts w:ascii="Arial" w:eastAsiaTheme="minorHAnsi" w:hAnsi="Arial" w:cs="Arial"/>
          <w:b/>
          <w:i/>
          <w:color w:val="44546A" w:themeColor="text2"/>
          <w:sz w:val="26"/>
          <w:szCs w:val="26"/>
        </w:rPr>
        <w:t>2.3.4 Use-case #4: Digital Twin of a Temporary City</w:t>
      </w:r>
      <w:bookmarkEnd w:id="16"/>
    </w:p>
    <w:p w14:paraId="62CC5BCE" w14:textId="77777777" w:rsidR="00631F5B" w:rsidRPr="00631F5B" w:rsidRDefault="00631F5B" w:rsidP="00631F5B"/>
    <w:p w14:paraId="649CC322" w14:textId="77777777" w:rsidR="0099600E" w:rsidRPr="00921FBE" w:rsidRDefault="0099600E" w:rsidP="0099600E">
      <w:pPr>
        <w:rPr>
          <w:rFonts w:cs="Arial"/>
        </w:rPr>
      </w:pPr>
      <w:proofErr w:type="gramStart"/>
      <w:r w:rsidRPr="00921FBE">
        <w:rPr>
          <w:rFonts w:cs="Arial"/>
          <w:b/>
          <w:bCs/>
          <w:lang w:val="en-US"/>
        </w:rPr>
        <w:t xml:space="preserve">Problem  </w:t>
      </w:r>
      <w:r w:rsidRPr="00921FBE">
        <w:rPr>
          <w:rFonts w:cs="Arial"/>
          <w:lang w:val="en-US"/>
        </w:rPr>
        <w:t>A</w:t>
      </w:r>
      <w:proofErr w:type="gramEnd"/>
      <w:r w:rsidRPr="00921FBE">
        <w:rPr>
          <w:rFonts w:cs="Arial"/>
          <w:lang w:val="en-US"/>
        </w:rPr>
        <w:t xml:space="preserve"> temporary city is assembled and dismantled within a short period, but weather, crowds, heat stress, power, water, mobility and other operational systems are planned in separate tools. Their interactions are therefore difficult to test before deployment or </w:t>
      </w:r>
      <w:proofErr w:type="spellStart"/>
      <w:r w:rsidRPr="00921FBE">
        <w:rPr>
          <w:rFonts w:cs="Arial"/>
          <w:lang w:val="en-US"/>
        </w:rPr>
        <w:t>analyse</w:t>
      </w:r>
      <w:proofErr w:type="spellEnd"/>
      <w:r w:rsidRPr="00921FBE">
        <w:rPr>
          <w:rFonts w:cs="Arial"/>
          <w:lang w:val="en-US"/>
        </w:rPr>
        <w:t xml:space="preserve"> consistently afterwards.</w:t>
      </w:r>
      <w:r w:rsidRPr="00921FBE">
        <w:rPr>
          <w:rFonts w:cs="Arial"/>
        </w:rPr>
        <w:t> </w:t>
      </w:r>
    </w:p>
    <w:p w14:paraId="6CF6ED74" w14:textId="77777777" w:rsidR="0099600E" w:rsidRPr="00921FBE" w:rsidRDefault="0099600E" w:rsidP="0099600E">
      <w:pPr>
        <w:rPr>
          <w:rFonts w:cs="Arial"/>
        </w:rPr>
      </w:pPr>
      <w:proofErr w:type="gramStart"/>
      <w:r w:rsidRPr="00921FBE">
        <w:rPr>
          <w:rFonts w:cs="Arial"/>
          <w:b/>
          <w:bCs/>
          <w:lang w:val="en-US"/>
        </w:rPr>
        <w:t xml:space="preserve">Goal  </w:t>
      </w:r>
      <w:r w:rsidRPr="00921FBE">
        <w:rPr>
          <w:rFonts w:cs="Arial"/>
          <w:lang w:val="en-US"/>
        </w:rPr>
        <w:t>Build</w:t>
      </w:r>
      <w:proofErr w:type="gramEnd"/>
      <w:r w:rsidRPr="00921FBE">
        <w:rPr>
          <w:rFonts w:cs="Arial"/>
          <w:lang w:val="en-US"/>
        </w:rPr>
        <w:t xml:space="preserve"> a unified predictive environment that allows relevant systems and scenarios to be modelled before the first truck arrives, supports decisions during the event lifecycle and improves planning for future editions.</w:t>
      </w:r>
      <w:r w:rsidRPr="00921FBE">
        <w:rPr>
          <w:rFonts w:cs="Arial"/>
        </w:rPr>
        <w:t> </w:t>
      </w:r>
    </w:p>
    <w:p w14:paraId="58006FE1" w14:textId="77777777" w:rsidR="0099600E" w:rsidRPr="00921FBE" w:rsidRDefault="0099600E" w:rsidP="0099600E">
      <w:pPr>
        <w:rPr>
          <w:rFonts w:cs="Arial"/>
        </w:rPr>
      </w:pPr>
      <w:r w:rsidRPr="00921FBE">
        <w:rPr>
          <w:rFonts w:cs="Arial"/>
          <w:b/>
          <w:bCs/>
          <w:lang w:val="en-US"/>
        </w:rPr>
        <w:t xml:space="preserve">Role of </w:t>
      </w:r>
      <w:proofErr w:type="gramStart"/>
      <w:r w:rsidRPr="00921FBE">
        <w:rPr>
          <w:rFonts w:cs="Arial"/>
          <w:b/>
          <w:bCs/>
          <w:lang w:val="en-US"/>
        </w:rPr>
        <w:t xml:space="preserve">space  </w:t>
      </w:r>
      <w:r w:rsidRPr="00921FBE">
        <w:rPr>
          <w:rFonts w:cs="Arial"/>
          <w:lang w:val="en-US"/>
        </w:rPr>
        <w:t>Earth</w:t>
      </w:r>
      <w:proofErr w:type="gramEnd"/>
      <w:r w:rsidRPr="00921FBE">
        <w:rPr>
          <w:rFonts w:cs="Arial"/>
          <w:lang w:val="en-US"/>
        </w:rPr>
        <w:t xml:space="preserve"> observation can provide terrain, land-use, environmental and weather-related inputs; GNSS can support precise mapping and asset positioning; and satellite communications can connect temporary infrastructure and field sensors.</w:t>
      </w:r>
      <w:r w:rsidRPr="00921FBE">
        <w:rPr>
          <w:rFonts w:cs="Arial"/>
        </w:rPr>
        <w:t> </w:t>
      </w:r>
    </w:p>
    <w:p w14:paraId="23D0E494" w14:textId="77777777" w:rsidR="0099600E" w:rsidRPr="00921FBE" w:rsidRDefault="0099600E" w:rsidP="0099600E">
      <w:pPr>
        <w:rPr>
          <w:rFonts w:cs="Arial"/>
        </w:rPr>
      </w:pPr>
      <w:r w:rsidRPr="00921FBE">
        <w:rPr>
          <w:rFonts w:cs="Arial"/>
          <w:b/>
          <w:bCs/>
          <w:lang w:val="en-US"/>
        </w:rPr>
        <w:t>Solutions may include:</w:t>
      </w:r>
      <w:r w:rsidRPr="00921FBE">
        <w:rPr>
          <w:rFonts w:cs="Arial"/>
        </w:rPr>
        <w:t> </w:t>
      </w:r>
    </w:p>
    <w:p w14:paraId="1FDDD371" w14:textId="77777777" w:rsidR="0099600E" w:rsidRPr="00921FBE" w:rsidRDefault="0099600E" w:rsidP="00CB272F">
      <w:pPr>
        <w:numPr>
          <w:ilvl w:val="0"/>
          <w:numId w:val="32"/>
        </w:numPr>
        <w:spacing w:line="278" w:lineRule="auto"/>
        <w:rPr>
          <w:rFonts w:cs="Arial"/>
        </w:rPr>
      </w:pPr>
      <w:r w:rsidRPr="00921FBE">
        <w:rPr>
          <w:rFonts w:cs="Arial"/>
          <w:lang w:val="en-US"/>
        </w:rPr>
        <w:t>Integrated modelling of crowds, heat, power, water, mobility and site infrastructure</w:t>
      </w:r>
      <w:r w:rsidRPr="00921FBE">
        <w:rPr>
          <w:rFonts w:cs="Arial"/>
        </w:rPr>
        <w:t> </w:t>
      </w:r>
    </w:p>
    <w:p w14:paraId="1C054914" w14:textId="77777777" w:rsidR="0099600E" w:rsidRPr="00921FBE" w:rsidRDefault="0099600E" w:rsidP="00CB272F">
      <w:pPr>
        <w:numPr>
          <w:ilvl w:val="0"/>
          <w:numId w:val="33"/>
        </w:numPr>
        <w:spacing w:line="278" w:lineRule="auto"/>
        <w:rPr>
          <w:rFonts w:cs="Arial"/>
        </w:rPr>
      </w:pPr>
      <w:r w:rsidRPr="00921FBE">
        <w:rPr>
          <w:rFonts w:cs="Arial"/>
          <w:lang w:val="en-US"/>
        </w:rPr>
        <w:t>Pre-event scenario testing and operational-risk assessment</w:t>
      </w:r>
      <w:r w:rsidRPr="00921FBE">
        <w:rPr>
          <w:rFonts w:cs="Arial"/>
        </w:rPr>
        <w:t> </w:t>
      </w:r>
    </w:p>
    <w:p w14:paraId="11D1527E" w14:textId="77777777" w:rsidR="0099600E" w:rsidRPr="00921FBE" w:rsidRDefault="0099600E" w:rsidP="00CB272F">
      <w:pPr>
        <w:numPr>
          <w:ilvl w:val="0"/>
          <w:numId w:val="34"/>
        </w:numPr>
        <w:spacing w:line="278" w:lineRule="auto"/>
        <w:rPr>
          <w:rFonts w:cs="Arial"/>
        </w:rPr>
      </w:pPr>
      <w:r w:rsidRPr="00921FBE">
        <w:rPr>
          <w:rFonts w:cs="Arial"/>
          <w:lang w:val="en-US"/>
        </w:rPr>
        <w:t>Comparison of planned and actual performance across festival editions</w:t>
      </w:r>
      <w:r w:rsidRPr="00921FBE">
        <w:rPr>
          <w:rFonts w:cs="Arial"/>
        </w:rPr>
        <w:t> </w:t>
      </w:r>
    </w:p>
    <w:p w14:paraId="26567787" w14:textId="77777777" w:rsidR="0099600E" w:rsidRPr="00921FBE" w:rsidRDefault="0099600E" w:rsidP="00CB272F">
      <w:pPr>
        <w:numPr>
          <w:ilvl w:val="0"/>
          <w:numId w:val="35"/>
        </w:numPr>
        <w:spacing w:line="278" w:lineRule="auto"/>
        <w:rPr>
          <w:rFonts w:cs="Arial"/>
        </w:rPr>
      </w:pPr>
      <w:r w:rsidRPr="00921FBE">
        <w:rPr>
          <w:rFonts w:cs="Arial"/>
          <w:lang w:val="en-US"/>
        </w:rPr>
        <w:t>Data integration with regional stakeholders where relevant</w:t>
      </w:r>
      <w:r w:rsidRPr="00921FBE">
        <w:rPr>
          <w:rFonts w:cs="Arial"/>
        </w:rPr>
        <w:t> </w:t>
      </w:r>
    </w:p>
    <w:p w14:paraId="2EACA1AE" w14:textId="77777777" w:rsidR="0099600E" w:rsidRPr="00414AF4" w:rsidRDefault="0099600E" w:rsidP="0099600E">
      <w:pPr>
        <w:rPr>
          <w:rFonts w:cs="Arial"/>
        </w:rPr>
      </w:pPr>
    </w:p>
    <w:p w14:paraId="4DDA4C45" w14:textId="6FD91315" w:rsidR="0099600E" w:rsidRPr="00921FBE" w:rsidRDefault="0099600E" w:rsidP="0099600E">
      <w:pPr>
        <w:pStyle w:val="Heading3"/>
        <w:rPr>
          <w:rFonts w:ascii="Arial" w:eastAsiaTheme="minorHAnsi" w:hAnsi="Arial" w:cs="Arial"/>
          <w:b/>
          <w:i/>
          <w:color w:val="44546A" w:themeColor="text2"/>
          <w:sz w:val="26"/>
          <w:szCs w:val="26"/>
        </w:rPr>
      </w:pPr>
      <w:bookmarkStart w:id="17" w:name="_Toc240133388"/>
      <w:r w:rsidRPr="00921FBE">
        <w:rPr>
          <w:rFonts w:ascii="Arial" w:eastAsiaTheme="minorHAnsi" w:hAnsi="Arial" w:cs="Arial"/>
          <w:b/>
          <w:i/>
          <w:color w:val="44546A" w:themeColor="text2"/>
          <w:sz w:val="26"/>
          <w:szCs w:val="26"/>
        </w:rPr>
        <w:t>2.3.5 Use-case #5: Extended Reality and Immersive Event Experiences</w:t>
      </w:r>
      <w:bookmarkEnd w:id="17"/>
    </w:p>
    <w:p w14:paraId="64168877" w14:textId="77777777" w:rsidR="0099600E" w:rsidRPr="00921FBE" w:rsidRDefault="0099600E" w:rsidP="0099600E">
      <w:pPr>
        <w:rPr>
          <w:rFonts w:cs="Arial"/>
          <w:b/>
          <w:bCs/>
          <w:lang w:val="en-US"/>
        </w:rPr>
      </w:pPr>
    </w:p>
    <w:p w14:paraId="28BF3D3A" w14:textId="657F6A1B" w:rsidR="0099600E" w:rsidRPr="00921FBE" w:rsidRDefault="0099600E" w:rsidP="0099600E">
      <w:pPr>
        <w:rPr>
          <w:rFonts w:cs="Arial"/>
        </w:rPr>
      </w:pPr>
      <w:proofErr w:type="gramStart"/>
      <w:r w:rsidRPr="00921FBE">
        <w:rPr>
          <w:rFonts w:cs="Arial"/>
          <w:b/>
          <w:bCs/>
          <w:lang w:val="en-US"/>
        </w:rPr>
        <w:t xml:space="preserve">Problem  </w:t>
      </w:r>
      <w:r w:rsidRPr="00921FBE">
        <w:rPr>
          <w:rFonts w:cs="Arial"/>
          <w:lang w:val="en-US"/>
        </w:rPr>
        <w:t>Live</w:t>
      </w:r>
      <w:proofErr w:type="gramEnd"/>
      <w:r w:rsidRPr="00921FBE">
        <w:rPr>
          <w:rFonts w:cs="Arial"/>
          <w:lang w:val="en-US"/>
        </w:rPr>
        <w:t xml:space="preserve"> events are seeking scalable XR experiences that can connect physical and digital environments, but current solutions may be difficult to deploy across large temporary sites, integrate with production workflows or deliver consistently to large audiences.</w:t>
      </w:r>
      <w:r w:rsidRPr="00921FBE">
        <w:rPr>
          <w:rFonts w:cs="Arial"/>
        </w:rPr>
        <w:t> </w:t>
      </w:r>
    </w:p>
    <w:p w14:paraId="4B9C9796" w14:textId="77777777" w:rsidR="0099600E" w:rsidRPr="00921FBE" w:rsidRDefault="0099600E" w:rsidP="0099600E">
      <w:pPr>
        <w:rPr>
          <w:rFonts w:cs="Arial"/>
        </w:rPr>
      </w:pPr>
      <w:proofErr w:type="gramStart"/>
      <w:r w:rsidRPr="00921FBE">
        <w:rPr>
          <w:rFonts w:cs="Arial"/>
          <w:b/>
          <w:bCs/>
          <w:lang w:val="en-US"/>
        </w:rPr>
        <w:t xml:space="preserve">Goal  </w:t>
      </w:r>
      <w:r w:rsidRPr="00921FBE">
        <w:rPr>
          <w:rFonts w:cs="Arial"/>
          <w:lang w:val="en-US"/>
        </w:rPr>
        <w:t>Develop</w:t>
      </w:r>
      <w:proofErr w:type="gramEnd"/>
      <w:r w:rsidRPr="00921FBE">
        <w:rPr>
          <w:rFonts w:cs="Arial"/>
          <w:lang w:val="en-US"/>
        </w:rPr>
        <w:t xml:space="preserve"> and demonstrate an XR-enabled event or brand-activation concept that enhances audience engagement and can be integrated into live-event operations and media workflows.</w:t>
      </w:r>
      <w:r w:rsidRPr="00921FBE">
        <w:rPr>
          <w:rFonts w:cs="Arial"/>
        </w:rPr>
        <w:t> </w:t>
      </w:r>
    </w:p>
    <w:p w14:paraId="51703433" w14:textId="77777777" w:rsidR="0099600E" w:rsidRPr="00921FBE" w:rsidRDefault="0099600E" w:rsidP="0099600E">
      <w:pPr>
        <w:rPr>
          <w:rFonts w:cs="Arial"/>
        </w:rPr>
      </w:pPr>
      <w:r w:rsidRPr="00921FBE">
        <w:rPr>
          <w:rFonts w:cs="Arial"/>
          <w:b/>
          <w:bCs/>
          <w:lang w:val="en-US"/>
        </w:rPr>
        <w:t xml:space="preserve">Role of </w:t>
      </w:r>
      <w:proofErr w:type="gramStart"/>
      <w:r w:rsidRPr="00921FBE">
        <w:rPr>
          <w:rFonts w:cs="Arial"/>
          <w:b/>
          <w:bCs/>
          <w:lang w:val="en-US"/>
        </w:rPr>
        <w:t xml:space="preserve">space  </w:t>
      </w:r>
      <w:r w:rsidRPr="00921FBE">
        <w:rPr>
          <w:rFonts w:cs="Arial"/>
          <w:lang w:val="en-US"/>
        </w:rPr>
        <w:t>Satellite</w:t>
      </w:r>
      <w:proofErr w:type="gramEnd"/>
      <w:r w:rsidRPr="00921FBE">
        <w:rPr>
          <w:rFonts w:cs="Arial"/>
          <w:lang w:val="en-US"/>
        </w:rPr>
        <w:t xml:space="preserve"> communications and hybrid connectivity can support resilient distribution; GNSS can enable location-aware experiences; and Earth observation-derived context may enrich site, environmental or destination-based content where relevant.</w:t>
      </w:r>
      <w:r w:rsidRPr="00921FBE">
        <w:rPr>
          <w:rFonts w:cs="Arial"/>
        </w:rPr>
        <w:t> </w:t>
      </w:r>
    </w:p>
    <w:p w14:paraId="588F7925" w14:textId="77777777" w:rsidR="0099600E" w:rsidRPr="00921FBE" w:rsidRDefault="0099600E" w:rsidP="0099600E">
      <w:pPr>
        <w:rPr>
          <w:rFonts w:cs="Arial"/>
        </w:rPr>
      </w:pPr>
      <w:r w:rsidRPr="00921FBE">
        <w:rPr>
          <w:rFonts w:cs="Arial"/>
          <w:b/>
          <w:bCs/>
          <w:lang w:val="en-US"/>
        </w:rPr>
        <w:t>Solutions may include:</w:t>
      </w:r>
      <w:r w:rsidRPr="00921FBE">
        <w:rPr>
          <w:rFonts w:cs="Arial"/>
        </w:rPr>
        <w:t> </w:t>
      </w:r>
    </w:p>
    <w:p w14:paraId="13275A82" w14:textId="77777777" w:rsidR="0099600E" w:rsidRPr="00921FBE" w:rsidRDefault="0099600E" w:rsidP="00CB272F">
      <w:pPr>
        <w:numPr>
          <w:ilvl w:val="0"/>
          <w:numId w:val="36"/>
        </w:numPr>
        <w:spacing w:line="278" w:lineRule="auto"/>
        <w:rPr>
          <w:rFonts w:cs="Arial"/>
        </w:rPr>
      </w:pPr>
      <w:r w:rsidRPr="00921FBE">
        <w:rPr>
          <w:rFonts w:cs="Arial"/>
          <w:lang w:val="en-US"/>
        </w:rPr>
        <w:t>XR experiences for live events, performances or interactive installations</w:t>
      </w:r>
      <w:r w:rsidRPr="00921FBE">
        <w:rPr>
          <w:rFonts w:cs="Arial"/>
        </w:rPr>
        <w:t> </w:t>
      </w:r>
    </w:p>
    <w:p w14:paraId="67C7ED70" w14:textId="77777777" w:rsidR="0099600E" w:rsidRPr="00921FBE" w:rsidRDefault="0099600E" w:rsidP="00CB272F">
      <w:pPr>
        <w:numPr>
          <w:ilvl w:val="0"/>
          <w:numId w:val="37"/>
        </w:numPr>
        <w:spacing w:line="278" w:lineRule="auto"/>
        <w:rPr>
          <w:rFonts w:cs="Arial"/>
        </w:rPr>
      </w:pPr>
      <w:r w:rsidRPr="00921FBE">
        <w:rPr>
          <w:rFonts w:cs="Arial"/>
          <w:lang w:val="en-US"/>
        </w:rPr>
        <w:t>Immersive brand or sustainability activations</w:t>
      </w:r>
      <w:r w:rsidRPr="00921FBE">
        <w:rPr>
          <w:rFonts w:cs="Arial"/>
        </w:rPr>
        <w:t> </w:t>
      </w:r>
    </w:p>
    <w:p w14:paraId="7BECD513" w14:textId="77777777" w:rsidR="0099600E" w:rsidRPr="00921FBE" w:rsidRDefault="0099600E" w:rsidP="00CB272F">
      <w:pPr>
        <w:numPr>
          <w:ilvl w:val="0"/>
          <w:numId w:val="38"/>
        </w:numPr>
        <w:spacing w:line="278" w:lineRule="auto"/>
        <w:rPr>
          <w:rFonts w:cs="Arial"/>
        </w:rPr>
      </w:pPr>
      <w:r w:rsidRPr="00921FBE">
        <w:rPr>
          <w:rFonts w:cs="Arial"/>
          <w:lang w:val="en-US"/>
        </w:rPr>
        <w:t>Location-aware or site-aware audience experiences</w:t>
      </w:r>
      <w:r w:rsidRPr="00921FBE">
        <w:rPr>
          <w:rFonts w:cs="Arial"/>
        </w:rPr>
        <w:t> </w:t>
      </w:r>
    </w:p>
    <w:p w14:paraId="47B72F9D" w14:textId="77777777" w:rsidR="0099600E" w:rsidRPr="00921FBE" w:rsidRDefault="0099600E" w:rsidP="00CB272F">
      <w:pPr>
        <w:numPr>
          <w:ilvl w:val="0"/>
          <w:numId w:val="39"/>
        </w:numPr>
        <w:spacing w:line="278" w:lineRule="auto"/>
        <w:rPr>
          <w:rFonts w:cs="Arial"/>
        </w:rPr>
      </w:pPr>
      <w:r w:rsidRPr="00921FBE">
        <w:rPr>
          <w:rFonts w:cs="Arial"/>
          <w:lang w:val="en-US"/>
        </w:rPr>
        <w:t>Integration with digital twins, volumetric content or virtual-production workflows</w:t>
      </w:r>
      <w:r w:rsidRPr="00921FBE">
        <w:rPr>
          <w:rFonts w:cs="Arial"/>
        </w:rPr>
        <w:t> </w:t>
      </w:r>
    </w:p>
    <w:p w14:paraId="16022482" w14:textId="77777777" w:rsidR="0099600E" w:rsidRPr="00921FBE" w:rsidRDefault="0099600E" w:rsidP="0099600E">
      <w:pPr>
        <w:rPr>
          <w:rFonts w:cs="Arial"/>
        </w:rPr>
      </w:pPr>
    </w:p>
    <w:p w14:paraId="3544A852" w14:textId="7B96C832" w:rsidR="0099600E" w:rsidRPr="00921FBE" w:rsidRDefault="0099600E" w:rsidP="0099600E">
      <w:pPr>
        <w:pStyle w:val="Heading02"/>
        <w:numPr>
          <w:ilvl w:val="0"/>
          <w:numId w:val="0"/>
        </w:numPr>
        <w:ind w:left="471" w:hanging="471"/>
      </w:pPr>
      <w:bookmarkStart w:id="18" w:name="_Toc240133389"/>
      <w:r w:rsidRPr="00921FBE">
        <w:t>2.4 Procter &amp; Gamble</w:t>
      </w:r>
      <w:bookmarkEnd w:id="18"/>
    </w:p>
    <w:p w14:paraId="105FA97C" w14:textId="077C2E4D" w:rsidR="0099600E" w:rsidRPr="00921FBE" w:rsidRDefault="0099600E" w:rsidP="0099600E">
      <w:pPr>
        <w:pStyle w:val="Heading3"/>
        <w:rPr>
          <w:rFonts w:ascii="Arial" w:eastAsiaTheme="minorHAnsi" w:hAnsi="Arial" w:cs="Arial"/>
          <w:b/>
          <w:i/>
          <w:color w:val="44546A" w:themeColor="text2"/>
          <w:sz w:val="26"/>
          <w:szCs w:val="26"/>
        </w:rPr>
      </w:pPr>
      <w:bookmarkStart w:id="19" w:name="_Toc240133390"/>
      <w:r w:rsidRPr="00921FBE">
        <w:rPr>
          <w:rFonts w:ascii="Arial" w:eastAsiaTheme="minorHAnsi" w:hAnsi="Arial" w:cs="Arial"/>
          <w:b/>
          <w:i/>
          <w:color w:val="44546A" w:themeColor="text2"/>
          <w:sz w:val="26"/>
          <w:szCs w:val="26"/>
        </w:rPr>
        <w:t xml:space="preserve">2.4.1 Use-case #1: </w:t>
      </w:r>
      <w:r w:rsidR="00921FBE" w:rsidRPr="00921FBE">
        <w:rPr>
          <w:rFonts w:ascii="Arial" w:eastAsiaTheme="minorHAnsi" w:hAnsi="Arial" w:cs="Arial"/>
          <w:b/>
          <w:i/>
          <w:color w:val="44546A" w:themeColor="text2"/>
          <w:sz w:val="26"/>
          <w:szCs w:val="26"/>
        </w:rPr>
        <w:t>Longitudinal Consumer Experience Intelligence</w:t>
      </w:r>
      <w:bookmarkEnd w:id="19"/>
    </w:p>
    <w:p w14:paraId="0BAF31B1" w14:textId="77777777" w:rsidR="00921FBE" w:rsidRPr="00921FBE" w:rsidRDefault="00921FBE" w:rsidP="00921FBE">
      <w:pPr>
        <w:jc w:val="both"/>
        <w:rPr>
          <w:rFonts w:cs="Arial"/>
          <w:sz w:val="22"/>
        </w:rPr>
      </w:pPr>
      <w:r w:rsidRPr="00921FBE">
        <w:rPr>
          <w:rFonts w:cs="Arial"/>
          <w:b/>
          <w:bCs/>
          <w:color w:val="0F4761"/>
        </w:rPr>
        <w:t>Challenge focus:</w:t>
      </w:r>
      <w:r w:rsidRPr="00921FBE">
        <w:rPr>
          <w:rFonts w:cs="Arial"/>
          <w:color w:val="0F4761"/>
        </w:rPr>
        <w:t xml:space="preserve"> Privacy-compliant, low-burden, longitudinal understanding of real consumer experience in everyday household routines</w:t>
      </w:r>
    </w:p>
    <w:p w14:paraId="5B1203EE" w14:textId="77777777" w:rsidR="00921FBE" w:rsidRPr="00921FBE" w:rsidRDefault="00921FBE" w:rsidP="00921FBE">
      <w:pPr>
        <w:pStyle w:val="Heading3"/>
        <w:jc w:val="both"/>
        <w:rPr>
          <w:rFonts w:ascii="Arial" w:hAnsi="Arial" w:cs="Arial"/>
          <w:sz w:val="22"/>
          <w:szCs w:val="22"/>
        </w:rPr>
      </w:pPr>
      <w:bookmarkStart w:id="20" w:name="_Toc240133391"/>
      <w:r w:rsidRPr="00921FBE">
        <w:rPr>
          <w:rFonts w:ascii="Arial" w:hAnsi="Arial" w:cs="Arial"/>
        </w:rPr>
        <w:t>Background</w:t>
      </w:r>
      <w:bookmarkEnd w:id="20"/>
    </w:p>
    <w:p w14:paraId="5D2D96E1" w14:textId="77777777" w:rsidR="00921FBE" w:rsidRPr="00921FBE" w:rsidRDefault="00921FBE" w:rsidP="00921FBE">
      <w:pPr>
        <w:rPr>
          <w:rFonts w:cs="Arial"/>
          <w:sz w:val="22"/>
        </w:rPr>
      </w:pPr>
      <w:r w:rsidRPr="00921FBE">
        <w:rPr>
          <w:rFonts w:cs="Arial"/>
        </w:rPr>
        <w:t xml:space="preserve">Now, more than ever, a superior product is about delivering a delightful proposition across the end-to-end usage experience, from purchase to packaging to product. Technology has raised the bar higher and value must be experienced, not claimed. As such, consumer product companies need tools to quantify how people experience products in real life, over time, and in context. Future growth depends on creating products that consumers repeatedly choose because they deliver unmistakable superiority in real-life use. This necessitates a shift from traditional episodic research methods such as surveys, which often rely on consumer recall, self-reporting, and artificial research settings, to more continuous and contextual methodologies. </w:t>
      </w:r>
    </w:p>
    <w:p w14:paraId="39021247" w14:textId="77777777" w:rsidR="00921FBE" w:rsidRPr="00921FBE" w:rsidRDefault="00921FBE" w:rsidP="00921FBE">
      <w:pPr>
        <w:rPr>
          <w:rFonts w:cs="Arial"/>
          <w:sz w:val="22"/>
        </w:rPr>
      </w:pPr>
      <w:r w:rsidRPr="00921FBE">
        <w:rPr>
          <w:rFonts w:cs="Arial"/>
        </w:rPr>
        <w:t xml:space="preserve">The subtle yet critical experiences that determine whether a product feels meaningfully superior, creates repeat usage, builds trust, and supports premium value are often missed by </w:t>
      </w:r>
      <w:r w:rsidRPr="00921FBE">
        <w:rPr>
          <w:rFonts w:cs="Arial"/>
        </w:rPr>
        <w:lastRenderedPageBreak/>
        <w:t xml:space="preserve">current methodologies, as </w:t>
      </w:r>
      <w:proofErr w:type="gramStart"/>
      <w:r w:rsidRPr="00921FBE">
        <w:rPr>
          <w:rFonts w:cs="Arial"/>
        </w:rPr>
        <w:t>they</w:t>
      </w:r>
      <w:proofErr w:type="gramEnd"/>
      <w:r w:rsidRPr="00921FBE">
        <w:rPr>
          <w:rFonts w:cs="Arial"/>
        </w:rPr>
        <w:t xml:space="preserve"> small, short-lived, habitual, and difficult for consumers to articulate after the fact.</w:t>
      </w:r>
    </w:p>
    <w:p w14:paraId="1F83EDC9" w14:textId="77777777" w:rsidR="00921FBE" w:rsidRPr="00921FBE" w:rsidRDefault="00921FBE" w:rsidP="00921FBE">
      <w:pPr>
        <w:rPr>
          <w:rFonts w:cs="Arial"/>
        </w:rPr>
      </w:pPr>
      <w:r w:rsidRPr="00921FBE">
        <w:rPr>
          <w:rFonts w:cs="Arial"/>
        </w:rPr>
        <w:t xml:space="preserve">In Fabric and Home Care, many of the most important drivers of superiority occur during everyday moments of truth inside the consumer’s home. These include confidence after wearing clothes, emotional reassurance, perceptions of freshness, routines surrounding laundry, coping </w:t>
      </w:r>
      <w:proofErr w:type="spellStart"/>
      <w:r w:rsidRPr="00921FBE">
        <w:rPr>
          <w:rFonts w:cs="Arial"/>
        </w:rPr>
        <w:t>behaviors</w:t>
      </w:r>
      <w:proofErr w:type="spellEnd"/>
      <w:r w:rsidRPr="00921FBE">
        <w:rPr>
          <w:rFonts w:cs="Arial"/>
        </w:rPr>
        <w:t>, frustrations, delight moments, and purchasing decisions that consumers often cannot fully articulate.</w:t>
      </w:r>
    </w:p>
    <w:p w14:paraId="2345F025" w14:textId="77777777" w:rsidR="00921FBE" w:rsidRPr="00921FBE" w:rsidRDefault="00921FBE" w:rsidP="00921FBE">
      <w:pPr>
        <w:rPr>
          <w:rFonts w:cs="Arial"/>
        </w:rPr>
      </w:pPr>
      <w:r w:rsidRPr="00921FBE">
        <w:rPr>
          <w:rFonts w:cs="Arial"/>
        </w:rPr>
        <w:t xml:space="preserve">Current methodologies provide snapshots of consumer opinions, but may miss the continuous </w:t>
      </w:r>
      <w:proofErr w:type="spellStart"/>
      <w:r w:rsidRPr="00921FBE">
        <w:rPr>
          <w:rFonts w:cs="Arial"/>
        </w:rPr>
        <w:t>behavioral</w:t>
      </w:r>
      <w:proofErr w:type="spellEnd"/>
      <w:r w:rsidRPr="00921FBE">
        <w:rPr>
          <w:rFonts w:cs="Arial"/>
        </w:rPr>
        <w:t>, emotional, and contextual signals that shape long-term satisfaction and loyalty. The opportunity is to move from asking to measuring intermittent snapshots to continuous learning, and from isolated observations to connected intelligence.</w:t>
      </w:r>
    </w:p>
    <w:p w14:paraId="4D1A70CA" w14:textId="77777777" w:rsidR="00921FBE" w:rsidRPr="00921FBE" w:rsidRDefault="00921FBE" w:rsidP="00921FBE">
      <w:pPr>
        <w:pStyle w:val="Heading3"/>
        <w:jc w:val="both"/>
        <w:rPr>
          <w:rFonts w:ascii="Arial" w:hAnsi="Arial" w:cs="Arial"/>
          <w:sz w:val="22"/>
          <w:szCs w:val="22"/>
        </w:rPr>
      </w:pPr>
      <w:bookmarkStart w:id="21" w:name="_Toc240133392"/>
      <w:r w:rsidRPr="00921FBE">
        <w:rPr>
          <w:rFonts w:ascii="Arial" w:hAnsi="Arial" w:cs="Arial"/>
        </w:rPr>
        <w:t>Why This Matters Beyond Earth</w:t>
      </w:r>
      <w:bookmarkEnd w:id="21"/>
    </w:p>
    <w:p w14:paraId="0A65DBD0" w14:textId="77777777" w:rsidR="00921FBE" w:rsidRPr="00921FBE" w:rsidRDefault="00921FBE" w:rsidP="00921FBE">
      <w:pPr>
        <w:jc w:val="both"/>
        <w:rPr>
          <w:rFonts w:cs="Arial"/>
          <w:sz w:val="22"/>
        </w:rPr>
      </w:pPr>
      <w:r w:rsidRPr="00921FBE">
        <w:rPr>
          <w:rFonts w:cs="Arial"/>
        </w:rPr>
        <w:t xml:space="preserve">Long-duration space missions face a comparable challenge: human experience, wellbeing, cognitive performance, stress, and </w:t>
      </w:r>
      <w:proofErr w:type="spellStart"/>
      <w:r w:rsidRPr="00921FBE">
        <w:rPr>
          <w:rFonts w:cs="Arial"/>
        </w:rPr>
        <w:t>behavioral</w:t>
      </w:r>
      <w:proofErr w:type="spellEnd"/>
      <w:r w:rsidRPr="00921FBE">
        <w:rPr>
          <w:rFonts w:cs="Arial"/>
        </w:rPr>
        <w:t xml:space="preserve"> change must be understood continuously, unobtrusively, and reliably in environments where traditional questionnaires are insufficient.</w:t>
      </w:r>
    </w:p>
    <w:p w14:paraId="00AE79A8" w14:textId="77777777" w:rsidR="00921FBE" w:rsidRPr="00921FBE" w:rsidRDefault="00921FBE" w:rsidP="00CB272F">
      <w:pPr>
        <w:pStyle w:val="ListParagraph"/>
        <w:numPr>
          <w:ilvl w:val="0"/>
          <w:numId w:val="40"/>
        </w:numPr>
        <w:spacing w:line="278" w:lineRule="auto"/>
        <w:jc w:val="both"/>
        <w:rPr>
          <w:rFonts w:cs="Arial"/>
        </w:rPr>
      </w:pPr>
      <w:r w:rsidRPr="00921FBE">
        <w:rPr>
          <w:rFonts w:cs="Arial"/>
        </w:rPr>
        <w:t>Limited ability to rely on frequent self-reporting</w:t>
      </w:r>
    </w:p>
    <w:p w14:paraId="407DD342" w14:textId="77777777" w:rsidR="00921FBE" w:rsidRPr="00921FBE" w:rsidRDefault="00921FBE" w:rsidP="00CB272F">
      <w:pPr>
        <w:pStyle w:val="ListParagraph"/>
        <w:numPr>
          <w:ilvl w:val="0"/>
          <w:numId w:val="40"/>
        </w:numPr>
        <w:spacing w:line="278" w:lineRule="auto"/>
        <w:jc w:val="both"/>
        <w:rPr>
          <w:rFonts w:cs="Arial"/>
        </w:rPr>
      </w:pPr>
      <w:r w:rsidRPr="00921FBE">
        <w:rPr>
          <w:rFonts w:cs="Arial"/>
        </w:rPr>
        <w:t>Need for passive and low-burden monitoring</w:t>
      </w:r>
    </w:p>
    <w:p w14:paraId="361E71C8" w14:textId="77777777" w:rsidR="00921FBE" w:rsidRPr="00921FBE" w:rsidRDefault="00921FBE" w:rsidP="00CB272F">
      <w:pPr>
        <w:pStyle w:val="ListParagraph"/>
        <w:numPr>
          <w:ilvl w:val="0"/>
          <w:numId w:val="40"/>
        </w:numPr>
        <w:spacing w:line="278" w:lineRule="auto"/>
        <w:jc w:val="both"/>
        <w:rPr>
          <w:rFonts w:cs="Arial"/>
        </w:rPr>
      </w:pPr>
      <w:r w:rsidRPr="00921FBE">
        <w:rPr>
          <w:rFonts w:cs="Arial"/>
        </w:rPr>
        <w:t xml:space="preserve">High importance of longitudinal </w:t>
      </w:r>
      <w:proofErr w:type="spellStart"/>
      <w:r w:rsidRPr="00921FBE">
        <w:rPr>
          <w:rFonts w:cs="Arial"/>
        </w:rPr>
        <w:t>behavioral</w:t>
      </w:r>
      <w:proofErr w:type="spellEnd"/>
      <w:r w:rsidRPr="00921FBE">
        <w:rPr>
          <w:rFonts w:cs="Arial"/>
        </w:rPr>
        <w:t xml:space="preserve"> change</w:t>
      </w:r>
    </w:p>
    <w:p w14:paraId="48FFCCB0" w14:textId="77777777" w:rsidR="00921FBE" w:rsidRPr="00921FBE" w:rsidRDefault="00921FBE" w:rsidP="00CB272F">
      <w:pPr>
        <w:pStyle w:val="ListParagraph"/>
        <w:numPr>
          <w:ilvl w:val="0"/>
          <w:numId w:val="40"/>
        </w:numPr>
        <w:spacing w:line="278" w:lineRule="auto"/>
        <w:jc w:val="both"/>
        <w:rPr>
          <w:rFonts w:cs="Arial"/>
        </w:rPr>
      </w:pPr>
      <w:r w:rsidRPr="00921FBE">
        <w:rPr>
          <w:rFonts w:cs="Arial"/>
        </w:rPr>
        <w:t>Contextual interpretation of weak or noisy signals</w:t>
      </w:r>
    </w:p>
    <w:p w14:paraId="185C5D46" w14:textId="77777777" w:rsidR="00921FBE" w:rsidRPr="00921FBE" w:rsidRDefault="00921FBE" w:rsidP="00CB272F">
      <w:pPr>
        <w:pStyle w:val="ListParagraph"/>
        <w:numPr>
          <w:ilvl w:val="0"/>
          <w:numId w:val="40"/>
        </w:numPr>
        <w:spacing w:line="278" w:lineRule="auto"/>
        <w:jc w:val="both"/>
        <w:rPr>
          <w:rFonts w:cs="Arial"/>
        </w:rPr>
      </w:pPr>
      <w:r w:rsidRPr="00921FBE">
        <w:rPr>
          <w:rFonts w:cs="Arial"/>
        </w:rPr>
        <w:t>Strong privacy, trust, and consent requirements</w:t>
      </w:r>
    </w:p>
    <w:p w14:paraId="2A72F809" w14:textId="77777777" w:rsidR="00921FBE" w:rsidRPr="00921FBE" w:rsidRDefault="00921FBE" w:rsidP="00921FBE">
      <w:pPr>
        <w:jc w:val="both"/>
        <w:rPr>
          <w:rFonts w:cs="Arial"/>
          <w:sz w:val="22"/>
        </w:rPr>
      </w:pPr>
      <w:r w:rsidRPr="00921FBE">
        <w:rPr>
          <w:rFonts w:cs="Arial"/>
        </w:rPr>
        <w:t>The same fundamental question connects space exploration and consumer understanding: how can meaningful changes in human experience be detected over time with minimal burden, high trust, and sufficient signal quality to support better decisions?</w:t>
      </w:r>
    </w:p>
    <w:p w14:paraId="17A22E30" w14:textId="77777777" w:rsidR="00921FBE" w:rsidRPr="00921FBE" w:rsidRDefault="00921FBE" w:rsidP="00921FBE">
      <w:pPr>
        <w:pStyle w:val="Heading3"/>
        <w:jc w:val="both"/>
        <w:rPr>
          <w:rFonts w:ascii="Arial" w:hAnsi="Arial" w:cs="Arial"/>
          <w:sz w:val="22"/>
          <w:szCs w:val="22"/>
        </w:rPr>
      </w:pPr>
      <w:bookmarkStart w:id="22" w:name="_Toc240133393"/>
      <w:r w:rsidRPr="00921FBE">
        <w:rPr>
          <w:rFonts w:ascii="Arial" w:hAnsi="Arial" w:cs="Arial"/>
        </w:rPr>
        <w:t>Challenge Statement</w:t>
      </w:r>
      <w:bookmarkEnd w:id="22"/>
    </w:p>
    <w:p w14:paraId="43D2B4C3" w14:textId="77777777" w:rsidR="00921FBE" w:rsidRPr="00921FBE" w:rsidRDefault="00921FBE" w:rsidP="00921FBE">
      <w:pPr>
        <w:jc w:val="both"/>
        <w:rPr>
          <w:rFonts w:cs="Arial"/>
          <w:sz w:val="22"/>
        </w:rPr>
      </w:pPr>
      <w:r w:rsidRPr="00921FBE">
        <w:rPr>
          <w:rFonts w:cs="Arial"/>
          <w:b/>
          <w:bCs/>
          <w:color w:val="0F4761"/>
        </w:rPr>
        <w:t>Longitudinal Consumer Experience Intelligence for Everyday Life</w:t>
      </w:r>
    </w:p>
    <w:p w14:paraId="056D8811" w14:textId="77777777" w:rsidR="00921FBE" w:rsidRPr="00921FBE" w:rsidRDefault="00921FBE" w:rsidP="00921FBE">
      <w:pPr>
        <w:rPr>
          <w:rFonts w:cs="Arial"/>
          <w:sz w:val="22"/>
        </w:rPr>
      </w:pPr>
      <w:r w:rsidRPr="00921FBE">
        <w:rPr>
          <w:rFonts w:cs="Arial"/>
        </w:rPr>
        <w:t>We are seeking breakthrough technologies capable of continuously, unobtrusively, and privacy-compliantly understanding consumer experience, emotional responses, satisfaction, frustration, confidence, trust, repeat-use drivers, and emerging unmet needs during everyday household routines over extended periods.</w:t>
      </w:r>
    </w:p>
    <w:p w14:paraId="5609A4E1" w14:textId="77777777" w:rsidR="00921FBE" w:rsidRPr="00921FBE" w:rsidRDefault="00921FBE" w:rsidP="00921FBE">
      <w:pPr>
        <w:rPr>
          <w:rFonts w:cs="Arial"/>
          <w:sz w:val="22"/>
        </w:rPr>
      </w:pPr>
      <w:r w:rsidRPr="00921FBE">
        <w:rPr>
          <w:rFonts w:cs="Arial"/>
        </w:rPr>
        <w:t>Solutions should help reduce reliance on recall-based research and active survey burden while improving the ability to detect meaningful signals in low signal-to-noise environments. The goal is to identify what truly makes products superior in real life, what drives repeat choice and trust, and which moments create lasting consumer value.</w:t>
      </w:r>
    </w:p>
    <w:p w14:paraId="4B072820" w14:textId="77777777" w:rsidR="00921FBE" w:rsidRPr="00921FBE" w:rsidRDefault="00921FBE" w:rsidP="00921FBE">
      <w:pPr>
        <w:pStyle w:val="Heading3"/>
        <w:jc w:val="both"/>
        <w:rPr>
          <w:rFonts w:ascii="Arial" w:hAnsi="Arial" w:cs="Arial"/>
          <w:sz w:val="22"/>
          <w:szCs w:val="22"/>
        </w:rPr>
      </w:pPr>
      <w:bookmarkStart w:id="23" w:name="_Toc240133394"/>
      <w:r w:rsidRPr="00921FBE">
        <w:rPr>
          <w:rFonts w:ascii="Arial" w:hAnsi="Arial" w:cs="Arial"/>
        </w:rPr>
        <w:t>Areas of Interest</w:t>
      </w:r>
      <w:bookmarkEnd w:id="23"/>
    </w:p>
    <w:p w14:paraId="6C9B2C0A" w14:textId="77777777" w:rsidR="00921FBE" w:rsidRPr="00921FBE" w:rsidRDefault="00921FBE" w:rsidP="00921FBE">
      <w:pPr>
        <w:jc w:val="both"/>
        <w:rPr>
          <w:rFonts w:cs="Arial"/>
          <w:sz w:val="22"/>
        </w:rPr>
      </w:pPr>
      <w:r w:rsidRPr="00921FBE">
        <w:rPr>
          <w:rFonts w:cs="Arial"/>
        </w:rPr>
        <w:t xml:space="preserve">We are not looking for conventional or standard survey platforms. We are interested in disruptive approaches inspired by human performance monitoring, remote wellbeing assessment, digital biomarkers, </w:t>
      </w:r>
      <w:proofErr w:type="spellStart"/>
      <w:r w:rsidRPr="00921FBE">
        <w:rPr>
          <w:rFonts w:cs="Arial"/>
        </w:rPr>
        <w:t>behavioral</w:t>
      </w:r>
      <w:proofErr w:type="spellEnd"/>
      <w:r w:rsidRPr="00921FBE">
        <w:rPr>
          <w:rFonts w:cs="Arial"/>
        </w:rPr>
        <w:t xml:space="preserve"> analytics, artificial intelligence, context-aware computing, passive sensing, and space-enabled monitoring systems.</w:t>
      </w:r>
    </w:p>
    <w:p w14:paraId="17F5625D" w14:textId="77777777" w:rsidR="00921FBE" w:rsidRPr="00921FBE" w:rsidRDefault="00921FBE" w:rsidP="00905E0B">
      <w:pPr>
        <w:pStyle w:val="Heading4"/>
        <w:numPr>
          <w:ilvl w:val="0"/>
          <w:numId w:val="0"/>
        </w:numPr>
        <w:ind w:left="907" w:hanging="907"/>
        <w:jc w:val="both"/>
        <w:rPr>
          <w:rFonts w:cs="Arial"/>
          <w:sz w:val="22"/>
          <w:szCs w:val="22"/>
        </w:rPr>
      </w:pPr>
      <w:r w:rsidRPr="00921FBE">
        <w:rPr>
          <w:rFonts w:cs="Arial"/>
        </w:rPr>
        <w:lastRenderedPageBreak/>
        <w:t>Passive and Low-Burden Sensing</w:t>
      </w:r>
    </w:p>
    <w:p w14:paraId="3BCB3E76" w14:textId="77777777" w:rsidR="00921FBE" w:rsidRPr="00921FBE" w:rsidRDefault="00921FBE" w:rsidP="00921FBE">
      <w:pPr>
        <w:jc w:val="both"/>
        <w:rPr>
          <w:rFonts w:cs="Arial"/>
          <w:sz w:val="22"/>
        </w:rPr>
      </w:pPr>
      <w:r w:rsidRPr="00921FBE">
        <w:rPr>
          <w:rFonts w:cs="Arial"/>
        </w:rPr>
        <w:t xml:space="preserve">Technologies that can capture real-world </w:t>
      </w:r>
      <w:proofErr w:type="spellStart"/>
      <w:r w:rsidRPr="00921FBE">
        <w:rPr>
          <w:rFonts w:cs="Arial"/>
        </w:rPr>
        <w:t>behavioral</w:t>
      </w:r>
      <w:proofErr w:type="spellEnd"/>
      <w:r w:rsidRPr="00921FBE">
        <w:rPr>
          <w:rFonts w:cs="Arial"/>
        </w:rPr>
        <w:t>, contextual, or experience-related signals with minimal participant effort and without disrupting normal household routines.</w:t>
      </w:r>
    </w:p>
    <w:p w14:paraId="7F2802F0" w14:textId="77777777" w:rsidR="00921FBE" w:rsidRPr="00921FBE" w:rsidRDefault="00921FBE" w:rsidP="00905E0B">
      <w:pPr>
        <w:pStyle w:val="Heading4"/>
        <w:numPr>
          <w:ilvl w:val="0"/>
          <w:numId w:val="0"/>
        </w:numPr>
        <w:ind w:left="907" w:hanging="907"/>
        <w:jc w:val="both"/>
        <w:rPr>
          <w:rFonts w:cs="Arial"/>
          <w:sz w:val="22"/>
          <w:szCs w:val="22"/>
        </w:rPr>
      </w:pPr>
      <w:r w:rsidRPr="00921FBE">
        <w:rPr>
          <w:rFonts w:cs="Arial"/>
        </w:rPr>
        <w:t>Digital Biomarkers and Human State Inference</w:t>
      </w:r>
    </w:p>
    <w:p w14:paraId="3D05BBBB" w14:textId="77777777" w:rsidR="00921FBE" w:rsidRPr="00921FBE" w:rsidRDefault="00921FBE" w:rsidP="00921FBE">
      <w:pPr>
        <w:jc w:val="both"/>
        <w:rPr>
          <w:rFonts w:cs="Arial"/>
          <w:sz w:val="22"/>
        </w:rPr>
      </w:pPr>
      <w:r w:rsidRPr="00921FBE">
        <w:rPr>
          <w:rFonts w:cs="Arial"/>
        </w:rPr>
        <w:t xml:space="preserve">Approaches that infer changes in confidence, stress, satisfaction, fatigue, reassurance, frustration, or wellbeing from consented </w:t>
      </w:r>
      <w:proofErr w:type="spellStart"/>
      <w:r w:rsidRPr="00921FBE">
        <w:rPr>
          <w:rFonts w:cs="Arial"/>
        </w:rPr>
        <w:t>behavioral</w:t>
      </w:r>
      <w:proofErr w:type="spellEnd"/>
      <w:r w:rsidRPr="00921FBE">
        <w:rPr>
          <w:rFonts w:cs="Arial"/>
        </w:rPr>
        <w:t>, physiological, voice, language, or contextual signals.</w:t>
      </w:r>
    </w:p>
    <w:p w14:paraId="1FFFC93B" w14:textId="77777777" w:rsidR="00921FBE" w:rsidRPr="00921FBE" w:rsidRDefault="00921FBE" w:rsidP="00905E0B">
      <w:pPr>
        <w:pStyle w:val="Heading4"/>
        <w:numPr>
          <w:ilvl w:val="0"/>
          <w:numId w:val="0"/>
        </w:numPr>
        <w:ind w:left="907" w:hanging="907"/>
        <w:jc w:val="both"/>
        <w:rPr>
          <w:rFonts w:cs="Arial"/>
          <w:sz w:val="22"/>
          <w:szCs w:val="22"/>
        </w:rPr>
      </w:pPr>
      <w:r w:rsidRPr="00921FBE">
        <w:rPr>
          <w:rFonts w:cs="Arial"/>
        </w:rPr>
        <w:t xml:space="preserve">Longitudinal </w:t>
      </w:r>
      <w:proofErr w:type="spellStart"/>
      <w:r w:rsidRPr="00921FBE">
        <w:rPr>
          <w:rFonts w:cs="Arial"/>
        </w:rPr>
        <w:t>Behavioral</w:t>
      </w:r>
      <w:proofErr w:type="spellEnd"/>
      <w:r w:rsidRPr="00921FBE">
        <w:rPr>
          <w:rFonts w:cs="Arial"/>
        </w:rPr>
        <w:t xml:space="preserve"> Analytics</w:t>
      </w:r>
    </w:p>
    <w:p w14:paraId="32D79D2C" w14:textId="77777777" w:rsidR="00921FBE" w:rsidRPr="00921FBE" w:rsidRDefault="00921FBE" w:rsidP="00921FBE">
      <w:pPr>
        <w:jc w:val="both"/>
        <w:rPr>
          <w:rFonts w:cs="Arial"/>
          <w:sz w:val="22"/>
        </w:rPr>
      </w:pPr>
      <w:r w:rsidRPr="00921FBE">
        <w:rPr>
          <w:rFonts w:cs="Arial"/>
        </w:rPr>
        <w:t>AI-enabled approaches that identify patterns, changes, anomalies, and weak signals over weeks or months, and connect them to consumer routines, product experiences, and emerging unmet needs.</w:t>
      </w:r>
    </w:p>
    <w:p w14:paraId="14B5786E" w14:textId="77777777" w:rsidR="00921FBE" w:rsidRPr="00921FBE" w:rsidRDefault="00921FBE" w:rsidP="00905E0B">
      <w:pPr>
        <w:pStyle w:val="Heading4"/>
        <w:numPr>
          <w:ilvl w:val="0"/>
          <w:numId w:val="0"/>
        </w:numPr>
        <w:ind w:left="907" w:hanging="907"/>
        <w:jc w:val="both"/>
        <w:rPr>
          <w:rFonts w:cs="Arial"/>
          <w:sz w:val="22"/>
          <w:szCs w:val="22"/>
        </w:rPr>
      </w:pPr>
      <w:r w:rsidRPr="00921FBE">
        <w:rPr>
          <w:rFonts w:cs="Arial"/>
        </w:rPr>
        <w:t>Privacy-Compliant Experience Platforms</w:t>
      </w:r>
    </w:p>
    <w:p w14:paraId="10D9C677" w14:textId="77777777" w:rsidR="00921FBE" w:rsidRPr="00921FBE" w:rsidRDefault="00921FBE" w:rsidP="00921FBE">
      <w:pPr>
        <w:jc w:val="both"/>
        <w:rPr>
          <w:rFonts w:cs="Arial"/>
          <w:sz w:val="22"/>
        </w:rPr>
      </w:pPr>
      <w:r w:rsidRPr="00921FBE">
        <w:rPr>
          <w:rFonts w:cs="Arial"/>
        </w:rPr>
        <w:t>Solutions that embed consent, transparency, data minimization, security, and participant trust by design, enabling responsible use in consumer homes and future scalable research settings.</w:t>
      </w:r>
    </w:p>
    <w:p w14:paraId="0D9F870B" w14:textId="77777777" w:rsidR="00921FBE" w:rsidRPr="00921FBE" w:rsidRDefault="00921FBE" w:rsidP="00905E0B">
      <w:pPr>
        <w:pStyle w:val="Heading4"/>
        <w:numPr>
          <w:ilvl w:val="0"/>
          <w:numId w:val="0"/>
        </w:numPr>
        <w:ind w:left="907" w:hanging="907"/>
        <w:jc w:val="both"/>
        <w:rPr>
          <w:rFonts w:cs="Arial"/>
          <w:sz w:val="22"/>
          <w:szCs w:val="22"/>
        </w:rPr>
      </w:pPr>
      <w:r w:rsidRPr="00921FBE">
        <w:rPr>
          <w:rFonts w:cs="Arial"/>
        </w:rPr>
        <w:t>Space-Inspired Monitoring and Closed-Loop Learning</w:t>
      </w:r>
    </w:p>
    <w:p w14:paraId="3C0C733C" w14:textId="77777777" w:rsidR="00921FBE" w:rsidRPr="00921FBE" w:rsidRDefault="00921FBE" w:rsidP="00921FBE">
      <w:pPr>
        <w:jc w:val="both"/>
        <w:rPr>
          <w:rFonts w:cs="Arial"/>
        </w:rPr>
      </w:pPr>
      <w:r w:rsidRPr="00921FBE">
        <w:rPr>
          <w:rFonts w:cs="Arial"/>
        </w:rPr>
        <w:t>Technologies developed for astronaut monitoring, remote health assessment, mission support, environmental sensing, or constrained-resource operations may offer valuable approaches for understanding consumers longitudinally in real-world environments.</w:t>
      </w:r>
    </w:p>
    <w:p w14:paraId="44AD8E27" w14:textId="77777777" w:rsidR="00921FBE" w:rsidRPr="00921FBE" w:rsidRDefault="00921FBE" w:rsidP="00921FBE">
      <w:pPr>
        <w:pStyle w:val="Heading3"/>
        <w:jc w:val="both"/>
        <w:rPr>
          <w:rFonts w:ascii="Arial" w:hAnsi="Arial" w:cs="Arial"/>
          <w:sz w:val="22"/>
          <w:szCs w:val="22"/>
        </w:rPr>
      </w:pPr>
      <w:bookmarkStart w:id="24" w:name="_Toc240133395"/>
      <w:r w:rsidRPr="00921FBE">
        <w:rPr>
          <w:rFonts w:ascii="Arial" w:hAnsi="Arial" w:cs="Arial"/>
        </w:rPr>
        <w:t>Desired Outcomes</w:t>
      </w:r>
      <w:bookmarkEnd w:id="24"/>
    </w:p>
    <w:p w14:paraId="51334156" w14:textId="77777777" w:rsidR="00921FBE" w:rsidRPr="00921FBE" w:rsidRDefault="00921FBE" w:rsidP="00921FBE">
      <w:pPr>
        <w:jc w:val="both"/>
        <w:rPr>
          <w:rFonts w:cs="Arial"/>
          <w:sz w:val="22"/>
        </w:rPr>
      </w:pPr>
      <w:r w:rsidRPr="00921FBE">
        <w:rPr>
          <w:rFonts w:cs="Arial"/>
        </w:rPr>
        <w:t>A successful solution could enable:</w:t>
      </w:r>
    </w:p>
    <w:p w14:paraId="365E71E9" w14:textId="77777777" w:rsidR="00921FBE" w:rsidRPr="00921FBE" w:rsidRDefault="00921FBE" w:rsidP="00CB272F">
      <w:pPr>
        <w:pStyle w:val="ListParagraph"/>
        <w:numPr>
          <w:ilvl w:val="0"/>
          <w:numId w:val="41"/>
        </w:numPr>
        <w:spacing w:line="278" w:lineRule="auto"/>
        <w:jc w:val="both"/>
        <w:rPr>
          <w:rFonts w:cs="Arial"/>
        </w:rPr>
      </w:pPr>
      <w:r w:rsidRPr="00921FBE">
        <w:rPr>
          <w:rFonts w:cs="Arial"/>
        </w:rPr>
        <w:t>More objective understanding of real consumer experience over time</w:t>
      </w:r>
    </w:p>
    <w:p w14:paraId="6044C02C" w14:textId="77777777" w:rsidR="00921FBE" w:rsidRPr="00921FBE" w:rsidRDefault="00921FBE" w:rsidP="00CB272F">
      <w:pPr>
        <w:pStyle w:val="ListParagraph"/>
        <w:numPr>
          <w:ilvl w:val="0"/>
          <w:numId w:val="41"/>
        </w:numPr>
        <w:spacing w:line="278" w:lineRule="auto"/>
        <w:jc w:val="both"/>
        <w:rPr>
          <w:rFonts w:cs="Arial"/>
        </w:rPr>
      </w:pPr>
      <w:r w:rsidRPr="00921FBE">
        <w:rPr>
          <w:rFonts w:cs="Arial"/>
        </w:rPr>
        <w:t>Earlier detection of emerging needs, friction points, and dissatisfaction</w:t>
      </w:r>
    </w:p>
    <w:p w14:paraId="488D5198" w14:textId="77777777" w:rsidR="00921FBE" w:rsidRPr="00921FBE" w:rsidRDefault="00921FBE" w:rsidP="00CB272F">
      <w:pPr>
        <w:pStyle w:val="ListParagraph"/>
        <w:numPr>
          <w:ilvl w:val="0"/>
          <w:numId w:val="41"/>
        </w:numPr>
        <w:spacing w:line="278" w:lineRule="auto"/>
        <w:jc w:val="both"/>
        <w:rPr>
          <w:rFonts w:cs="Arial"/>
        </w:rPr>
      </w:pPr>
      <w:r w:rsidRPr="00921FBE">
        <w:rPr>
          <w:rFonts w:cs="Arial"/>
        </w:rPr>
        <w:t>Better identification of moments that create delight, confidence, reassurance, trust</w:t>
      </w:r>
    </w:p>
    <w:p w14:paraId="7080067D" w14:textId="77777777" w:rsidR="00921FBE" w:rsidRPr="00921FBE" w:rsidRDefault="00921FBE" w:rsidP="00CB272F">
      <w:pPr>
        <w:pStyle w:val="ListParagraph"/>
        <w:numPr>
          <w:ilvl w:val="0"/>
          <w:numId w:val="41"/>
        </w:numPr>
        <w:spacing w:line="278" w:lineRule="auto"/>
        <w:jc w:val="both"/>
        <w:rPr>
          <w:rFonts w:cs="Arial"/>
        </w:rPr>
      </w:pPr>
      <w:r w:rsidRPr="00921FBE">
        <w:rPr>
          <w:rFonts w:cs="Arial"/>
        </w:rPr>
        <w:t>Improved learning from low signal-to-noise household routines</w:t>
      </w:r>
    </w:p>
    <w:p w14:paraId="7A85D42E" w14:textId="77777777" w:rsidR="00921FBE" w:rsidRPr="00921FBE" w:rsidRDefault="00921FBE" w:rsidP="00CB272F">
      <w:pPr>
        <w:pStyle w:val="ListParagraph"/>
        <w:numPr>
          <w:ilvl w:val="0"/>
          <w:numId w:val="41"/>
        </w:numPr>
        <w:spacing w:line="278" w:lineRule="auto"/>
        <w:jc w:val="both"/>
        <w:rPr>
          <w:rFonts w:cs="Arial"/>
        </w:rPr>
      </w:pPr>
      <w:r w:rsidRPr="00921FBE">
        <w:rPr>
          <w:rFonts w:cs="Arial"/>
        </w:rPr>
        <w:t>Reduced reliance on active survey burden and retrospective recall</w:t>
      </w:r>
    </w:p>
    <w:p w14:paraId="7B29E2C4" w14:textId="77777777" w:rsidR="00921FBE" w:rsidRPr="00921FBE" w:rsidRDefault="00921FBE" w:rsidP="00CB272F">
      <w:pPr>
        <w:pStyle w:val="ListParagraph"/>
        <w:numPr>
          <w:ilvl w:val="0"/>
          <w:numId w:val="41"/>
        </w:numPr>
        <w:spacing w:line="278" w:lineRule="auto"/>
        <w:jc w:val="both"/>
        <w:rPr>
          <w:rFonts w:cs="Arial"/>
        </w:rPr>
      </w:pPr>
      <w:r w:rsidRPr="00921FBE">
        <w:rPr>
          <w:rFonts w:cs="Arial"/>
        </w:rPr>
        <w:t>A scalable platform for longitudinal insight generation across categories and operating units</w:t>
      </w:r>
    </w:p>
    <w:p w14:paraId="10ED755D" w14:textId="77777777" w:rsidR="00921FBE" w:rsidRPr="00921FBE" w:rsidRDefault="00921FBE" w:rsidP="00921FBE">
      <w:pPr>
        <w:jc w:val="both"/>
        <w:rPr>
          <w:rFonts w:cs="Arial"/>
          <w:sz w:val="22"/>
        </w:rPr>
      </w:pPr>
      <w:r w:rsidRPr="00921FBE">
        <w:rPr>
          <w:rFonts w:cs="Arial"/>
        </w:rPr>
        <w:t>For space applications, related approaches could support:</w:t>
      </w:r>
    </w:p>
    <w:p w14:paraId="00BC2384" w14:textId="77777777" w:rsidR="00921FBE" w:rsidRPr="00921FBE" w:rsidRDefault="00921FBE" w:rsidP="00CB272F">
      <w:pPr>
        <w:pStyle w:val="ListParagraph"/>
        <w:numPr>
          <w:ilvl w:val="0"/>
          <w:numId w:val="42"/>
        </w:numPr>
        <w:spacing w:line="278" w:lineRule="auto"/>
        <w:jc w:val="both"/>
        <w:rPr>
          <w:rFonts w:cs="Arial"/>
        </w:rPr>
      </w:pPr>
      <w:r w:rsidRPr="00921FBE">
        <w:rPr>
          <w:rFonts w:cs="Arial"/>
        </w:rPr>
        <w:t>Continuous astronaut wellbeing and performance monitoring</w:t>
      </w:r>
    </w:p>
    <w:p w14:paraId="4CAB314E" w14:textId="77777777" w:rsidR="00921FBE" w:rsidRPr="00921FBE" w:rsidRDefault="00921FBE" w:rsidP="00CB272F">
      <w:pPr>
        <w:pStyle w:val="ListParagraph"/>
        <w:numPr>
          <w:ilvl w:val="0"/>
          <w:numId w:val="42"/>
        </w:numPr>
        <w:spacing w:line="278" w:lineRule="auto"/>
        <w:jc w:val="both"/>
        <w:rPr>
          <w:rFonts w:cs="Arial"/>
        </w:rPr>
      </w:pPr>
      <w:r w:rsidRPr="00921FBE">
        <w:rPr>
          <w:rFonts w:cs="Arial"/>
        </w:rPr>
        <w:t xml:space="preserve">Low-burden detection of </w:t>
      </w:r>
      <w:proofErr w:type="spellStart"/>
      <w:r w:rsidRPr="00921FBE">
        <w:rPr>
          <w:rFonts w:cs="Arial"/>
        </w:rPr>
        <w:t>behavioral</w:t>
      </w:r>
      <w:proofErr w:type="spellEnd"/>
      <w:r w:rsidRPr="00921FBE">
        <w:rPr>
          <w:rFonts w:cs="Arial"/>
        </w:rPr>
        <w:t xml:space="preserve"> or cognitive changes</w:t>
      </w:r>
    </w:p>
    <w:p w14:paraId="5E8F5993" w14:textId="77777777" w:rsidR="00921FBE" w:rsidRPr="00921FBE" w:rsidRDefault="00921FBE" w:rsidP="00CB272F">
      <w:pPr>
        <w:pStyle w:val="ListParagraph"/>
        <w:numPr>
          <w:ilvl w:val="0"/>
          <w:numId w:val="42"/>
        </w:numPr>
        <w:spacing w:line="278" w:lineRule="auto"/>
        <w:jc w:val="both"/>
        <w:rPr>
          <w:rFonts w:cs="Arial"/>
        </w:rPr>
      </w:pPr>
      <w:r w:rsidRPr="00921FBE">
        <w:rPr>
          <w:rFonts w:cs="Arial"/>
        </w:rPr>
        <w:t>Remote mission support and adaptive interventions</w:t>
      </w:r>
    </w:p>
    <w:p w14:paraId="3C6C3258" w14:textId="77777777" w:rsidR="00921FBE" w:rsidRPr="00921FBE" w:rsidRDefault="00921FBE" w:rsidP="00CB272F">
      <w:pPr>
        <w:pStyle w:val="ListParagraph"/>
        <w:numPr>
          <w:ilvl w:val="0"/>
          <w:numId w:val="42"/>
        </w:numPr>
        <w:spacing w:line="278" w:lineRule="auto"/>
        <w:jc w:val="both"/>
        <w:rPr>
          <w:rFonts w:cs="Arial"/>
        </w:rPr>
      </w:pPr>
      <w:r w:rsidRPr="00921FBE">
        <w:rPr>
          <w:rFonts w:cs="Arial"/>
        </w:rPr>
        <w:t>Improved human-system understanding in constrained environments</w:t>
      </w:r>
    </w:p>
    <w:p w14:paraId="1DD440EC" w14:textId="77777777" w:rsidR="00921FBE" w:rsidRPr="00921FBE" w:rsidRDefault="00921FBE" w:rsidP="00921FBE">
      <w:pPr>
        <w:pStyle w:val="Heading3"/>
        <w:jc w:val="both"/>
        <w:rPr>
          <w:rFonts w:ascii="Arial" w:hAnsi="Arial" w:cs="Arial"/>
          <w:sz w:val="22"/>
          <w:szCs w:val="22"/>
        </w:rPr>
      </w:pPr>
      <w:bookmarkStart w:id="25" w:name="_Toc240133396"/>
      <w:r w:rsidRPr="00921FBE">
        <w:rPr>
          <w:rFonts w:ascii="Arial" w:hAnsi="Arial" w:cs="Arial"/>
        </w:rPr>
        <w:t>Strategic Relevance</w:t>
      </w:r>
      <w:bookmarkEnd w:id="25"/>
    </w:p>
    <w:p w14:paraId="72CB673C" w14:textId="77777777" w:rsidR="00921FBE" w:rsidRPr="00921FBE" w:rsidRDefault="00921FBE" w:rsidP="00921FBE">
      <w:pPr>
        <w:jc w:val="both"/>
        <w:rPr>
          <w:rFonts w:cs="Arial"/>
          <w:sz w:val="22"/>
        </w:rPr>
      </w:pPr>
      <w:r w:rsidRPr="00921FBE">
        <w:rPr>
          <w:rFonts w:cs="Arial"/>
        </w:rPr>
        <w:t>This challenge addresses one of the most important bottlenecks in consumer understanding: not only how to ask consumers better questions, but how to responsibly measure real experience as it unfolds in daily life.</w:t>
      </w:r>
    </w:p>
    <w:p w14:paraId="00447045" w14:textId="77777777" w:rsidR="00921FBE" w:rsidRPr="00921FBE" w:rsidRDefault="00921FBE" w:rsidP="00921FBE">
      <w:pPr>
        <w:rPr>
          <w:rFonts w:cs="Arial"/>
          <w:sz w:val="22"/>
        </w:rPr>
      </w:pPr>
      <w:r w:rsidRPr="00921FBE">
        <w:rPr>
          <w:rFonts w:cs="Arial"/>
        </w:rPr>
        <w:lastRenderedPageBreak/>
        <w:t xml:space="preserve">For P&amp;G, this could help shift consumer research from episodic snapshots toward continuous, in-context learning, supporting the ambition to create products that consumers repeatedly choose because they experience them as genuinely better in their own home. Fabric and Home Care can provide </w:t>
      </w:r>
      <w:proofErr w:type="gramStart"/>
      <w:r w:rsidRPr="00921FBE">
        <w:rPr>
          <w:rFonts w:cs="Arial"/>
        </w:rPr>
        <w:t>a</w:t>
      </w:r>
      <w:proofErr w:type="gramEnd"/>
      <w:r w:rsidRPr="00921FBE">
        <w:rPr>
          <w:rFonts w:cs="Arial"/>
        </w:rPr>
        <w:t xml:space="preserve"> concrete first use case, while the underlying capability could scale to other categories where product experience is habitual, emotional, contextual, and difficult to capture through conventional research alone.</w:t>
      </w:r>
    </w:p>
    <w:p w14:paraId="5C93CA20" w14:textId="77777777" w:rsidR="00921FBE" w:rsidRPr="00921FBE" w:rsidRDefault="00921FBE" w:rsidP="00921FBE">
      <w:pPr>
        <w:rPr>
          <w:rFonts w:cs="Arial"/>
          <w:sz w:val="22"/>
        </w:rPr>
      </w:pPr>
      <w:r w:rsidRPr="00921FBE">
        <w:rPr>
          <w:rFonts w:cs="Arial"/>
          <w:b/>
          <w:bCs/>
        </w:rPr>
        <w:t>Challenge ambition:</w:t>
      </w:r>
      <w:r w:rsidRPr="00921FBE">
        <w:rPr>
          <w:rFonts w:cs="Arial"/>
        </w:rPr>
        <w:t xml:space="preserve"> Identify breakthrough solutions that make it possible to detect weak but meaningful consumer experience signals over time, with minimal participant burden and strong trust, so that innovation investment can be directed toward solutions consumers genuinely experience as better.</w:t>
      </w:r>
    </w:p>
    <w:p w14:paraId="6A372E0E" w14:textId="77777777" w:rsidR="00921FBE" w:rsidRPr="00921FBE" w:rsidRDefault="00921FBE" w:rsidP="00921FBE">
      <w:pPr>
        <w:rPr>
          <w:rFonts w:cs="Arial"/>
        </w:rPr>
      </w:pPr>
    </w:p>
    <w:p w14:paraId="7AB33045" w14:textId="01C64300" w:rsidR="0099600E" w:rsidRPr="00921FBE" w:rsidRDefault="0099600E" w:rsidP="0099600E">
      <w:pPr>
        <w:pStyle w:val="Heading3"/>
        <w:rPr>
          <w:rFonts w:ascii="Arial" w:eastAsiaTheme="minorHAnsi" w:hAnsi="Arial" w:cs="Arial"/>
          <w:b/>
          <w:i/>
          <w:color w:val="44546A" w:themeColor="text2"/>
          <w:sz w:val="26"/>
          <w:szCs w:val="26"/>
        </w:rPr>
      </w:pPr>
      <w:bookmarkStart w:id="26" w:name="_Toc240133397"/>
      <w:r w:rsidRPr="00921FBE">
        <w:rPr>
          <w:rFonts w:ascii="Arial" w:eastAsiaTheme="minorHAnsi" w:hAnsi="Arial" w:cs="Arial"/>
          <w:b/>
          <w:i/>
          <w:color w:val="44546A" w:themeColor="text2"/>
          <w:sz w:val="26"/>
          <w:szCs w:val="26"/>
        </w:rPr>
        <w:t xml:space="preserve">2.4.2 Use-case #2: </w:t>
      </w:r>
      <w:proofErr w:type="gramStart"/>
      <w:r w:rsidR="00921FBE" w:rsidRPr="00921FBE">
        <w:rPr>
          <w:rFonts w:ascii="Arial" w:eastAsiaTheme="minorHAnsi" w:hAnsi="Arial" w:cs="Arial"/>
          <w:b/>
          <w:i/>
          <w:color w:val="44546A" w:themeColor="text2"/>
          <w:sz w:val="26"/>
          <w:szCs w:val="26"/>
        </w:rPr>
        <w:t>Bio-Concentration</w:t>
      </w:r>
      <w:proofErr w:type="gramEnd"/>
      <w:r w:rsidR="00921FBE" w:rsidRPr="00921FBE">
        <w:rPr>
          <w:rFonts w:ascii="Arial" w:eastAsiaTheme="minorHAnsi" w:hAnsi="Arial" w:cs="Arial"/>
          <w:b/>
          <w:i/>
          <w:color w:val="44546A" w:themeColor="text2"/>
          <w:sz w:val="26"/>
          <w:szCs w:val="26"/>
        </w:rPr>
        <w:t xml:space="preserve"> and Resource-Efficient Recovery of Actives</w:t>
      </w:r>
      <w:bookmarkEnd w:id="26"/>
    </w:p>
    <w:p w14:paraId="639F1983" w14:textId="77777777" w:rsidR="00921FBE" w:rsidRPr="00921FBE" w:rsidRDefault="00921FBE" w:rsidP="00921FBE">
      <w:pPr>
        <w:jc w:val="center"/>
        <w:rPr>
          <w:rFonts w:cs="Arial"/>
          <w:color w:val="0F4761"/>
        </w:rPr>
      </w:pPr>
      <w:r w:rsidRPr="00921FBE">
        <w:rPr>
          <w:rFonts w:cs="Arial"/>
          <w:b/>
          <w:bCs/>
          <w:color w:val="0F4761"/>
        </w:rPr>
        <w:t>Challenge focus:</w:t>
      </w:r>
      <w:r w:rsidRPr="00921FBE">
        <w:rPr>
          <w:rFonts w:cs="Arial"/>
          <w:color w:val="0F4761"/>
        </w:rPr>
        <w:t xml:space="preserve"> Low-energy recovery of valuable water-soluble molecules from dilute aqueous streams</w:t>
      </w:r>
    </w:p>
    <w:p w14:paraId="69A2A721" w14:textId="77777777" w:rsidR="00921FBE" w:rsidRPr="00921FBE" w:rsidRDefault="00921FBE" w:rsidP="00921FBE">
      <w:pPr>
        <w:pStyle w:val="Heading2"/>
        <w:pBdr>
          <w:top w:val="single" w:sz="2" w:space="0" w:color="0F4761"/>
          <w:left w:val="single" w:sz="2" w:space="0" w:color="0F4761"/>
          <w:bottom w:val="single" w:sz="8" w:space="0" w:color="0F4761"/>
          <w:right w:val="single" w:sz="2" w:space="0" w:color="0F4761"/>
        </w:pBdr>
        <w:rPr>
          <w:rFonts w:ascii="Arial" w:hAnsi="Arial" w:cs="Arial"/>
        </w:rPr>
      </w:pPr>
      <w:bookmarkStart w:id="27" w:name="_Toc240133398"/>
      <w:r w:rsidRPr="00921FBE">
        <w:rPr>
          <w:rFonts w:ascii="Arial" w:hAnsi="Arial" w:cs="Arial"/>
        </w:rPr>
        <w:t>Background</w:t>
      </w:r>
      <w:bookmarkEnd w:id="27"/>
    </w:p>
    <w:p w14:paraId="1FF29673" w14:textId="77777777" w:rsidR="00921FBE" w:rsidRPr="00921FBE" w:rsidRDefault="00921FBE" w:rsidP="00921FBE">
      <w:pPr>
        <w:rPr>
          <w:rFonts w:cs="Arial"/>
        </w:rPr>
      </w:pPr>
      <w:r w:rsidRPr="00921FBE">
        <w:rPr>
          <w:rFonts w:cs="Arial"/>
        </w:rPr>
        <w:t>Consumer product companies are increasingly exploring bio-based production routes for surfactants, polymers, fragrances, functional actives, specialty lipids, and biotechnology-derived molecules.</w:t>
      </w:r>
    </w:p>
    <w:p w14:paraId="38827E1D" w14:textId="77777777" w:rsidR="00921FBE" w:rsidRPr="00921FBE" w:rsidRDefault="00921FBE" w:rsidP="00921FBE">
      <w:pPr>
        <w:jc w:val="both"/>
        <w:rPr>
          <w:rFonts w:cs="Arial"/>
        </w:rPr>
      </w:pPr>
      <w:r w:rsidRPr="00921FBE">
        <w:rPr>
          <w:rFonts w:cs="Arial"/>
        </w:rPr>
        <w:t xml:space="preserve">Fermentation and other biological manufacturing routes can reduce dependence on fossil-based feedstocks, but they introduce a major downstream challenge: target molecules are often produced at low concentrations in large volumes of water. </w:t>
      </w:r>
    </w:p>
    <w:p w14:paraId="012CEB31" w14:textId="77777777" w:rsidR="00921FBE" w:rsidRPr="00921FBE" w:rsidRDefault="00921FBE" w:rsidP="00921FBE">
      <w:pPr>
        <w:jc w:val="both"/>
        <w:rPr>
          <w:rFonts w:cs="Arial"/>
        </w:rPr>
      </w:pPr>
      <w:r w:rsidRPr="00921FBE">
        <w:rPr>
          <w:rFonts w:cs="Arial"/>
        </w:rPr>
        <w:t>Highly water-soluble molecules are especially difficult to isolate and concentrate without significant energy input, cost, and process complexity.</w:t>
      </w:r>
    </w:p>
    <w:p w14:paraId="3347634F" w14:textId="77777777" w:rsidR="00921FBE" w:rsidRPr="00921FBE" w:rsidRDefault="00921FBE" w:rsidP="00921FBE">
      <w:pPr>
        <w:rPr>
          <w:rFonts w:cs="Arial"/>
        </w:rPr>
      </w:pPr>
      <w:r w:rsidRPr="00921FBE">
        <w:rPr>
          <w:rFonts w:cs="Arial"/>
        </w:rPr>
        <w:t>Current recovery approaches often rely on:</w:t>
      </w:r>
    </w:p>
    <w:p w14:paraId="54B9A37E" w14:textId="77777777" w:rsidR="00921FBE" w:rsidRPr="00921FBE" w:rsidRDefault="00921FBE" w:rsidP="00CB272F">
      <w:pPr>
        <w:pStyle w:val="ListParagraph"/>
        <w:numPr>
          <w:ilvl w:val="0"/>
          <w:numId w:val="43"/>
        </w:numPr>
        <w:spacing w:line="278" w:lineRule="auto"/>
        <w:rPr>
          <w:rFonts w:cs="Arial"/>
        </w:rPr>
      </w:pPr>
      <w:r w:rsidRPr="00921FBE">
        <w:rPr>
          <w:rFonts w:cs="Arial"/>
        </w:rPr>
        <w:t>Distillation and evaporation</w:t>
      </w:r>
    </w:p>
    <w:p w14:paraId="70C1FD49" w14:textId="77777777" w:rsidR="00921FBE" w:rsidRPr="00921FBE" w:rsidRDefault="00921FBE" w:rsidP="00CB272F">
      <w:pPr>
        <w:pStyle w:val="ListParagraph"/>
        <w:numPr>
          <w:ilvl w:val="0"/>
          <w:numId w:val="43"/>
        </w:numPr>
        <w:spacing w:line="278" w:lineRule="auto"/>
        <w:rPr>
          <w:rFonts w:cs="Arial"/>
        </w:rPr>
      </w:pPr>
      <w:r w:rsidRPr="00921FBE">
        <w:rPr>
          <w:rFonts w:cs="Arial"/>
        </w:rPr>
        <w:t>Solvent extraction</w:t>
      </w:r>
    </w:p>
    <w:p w14:paraId="5D1EE03D" w14:textId="77777777" w:rsidR="00921FBE" w:rsidRPr="00921FBE" w:rsidRDefault="00921FBE" w:rsidP="00CB272F">
      <w:pPr>
        <w:pStyle w:val="ListParagraph"/>
        <w:numPr>
          <w:ilvl w:val="0"/>
          <w:numId w:val="43"/>
        </w:numPr>
        <w:spacing w:line="278" w:lineRule="auto"/>
        <w:rPr>
          <w:rFonts w:cs="Arial"/>
        </w:rPr>
      </w:pPr>
      <w:r w:rsidRPr="00921FBE">
        <w:rPr>
          <w:rFonts w:cs="Arial"/>
        </w:rPr>
        <w:t>Chromatography</w:t>
      </w:r>
    </w:p>
    <w:p w14:paraId="048D74C8" w14:textId="77777777" w:rsidR="00921FBE" w:rsidRPr="00921FBE" w:rsidRDefault="00921FBE" w:rsidP="00CB272F">
      <w:pPr>
        <w:pStyle w:val="ListParagraph"/>
        <w:numPr>
          <w:ilvl w:val="0"/>
          <w:numId w:val="43"/>
        </w:numPr>
        <w:spacing w:line="278" w:lineRule="auto"/>
        <w:rPr>
          <w:rFonts w:cs="Arial"/>
        </w:rPr>
      </w:pPr>
      <w:r w:rsidRPr="00921FBE">
        <w:rPr>
          <w:rFonts w:cs="Arial"/>
        </w:rPr>
        <w:t>Membrane systems</w:t>
      </w:r>
    </w:p>
    <w:p w14:paraId="41C5D05B" w14:textId="77777777" w:rsidR="00921FBE" w:rsidRPr="00921FBE" w:rsidRDefault="00921FBE" w:rsidP="00921FBE">
      <w:pPr>
        <w:rPr>
          <w:rFonts w:cs="Arial"/>
        </w:rPr>
      </w:pPr>
      <w:r w:rsidRPr="00921FBE">
        <w:rPr>
          <w:rFonts w:cs="Arial"/>
        </w:rPr>
        <w:t>These approaches can be expensive, energy intensive, difficult to scale, or unsuitable for sensitive molecules that degrade under processing conditions.</w:t>
      </w:r>
    </w:p>
    <w:p w14:paraId="5CD719A2" w14:textId="77777777" w:rsidR="00921FBE" w:rsidRPr="00921FBE" w:rsidRDefault="00921FBE" w:rsidP="00921FBE">
      <w:pPr>
        <w:rPr>
          <w:rFonts w:cs="Arial"/>
        </w:rPr>
      </w:pPr>
      <w:r w:rsidRPr="00921FBE">
        <w:rPr>
          <w:rFonts w:cs="Arial"/>
        </w:rPr>
        <w:t>As a result, downstream purification is often one of the largest contributors to cost, energy consumption, and carbon footprint within bio-manufacturing processes.</w:t>
      </w:r>
    </w:p>
    <w:p w14:paraId="42FF4F3E" w14:textId="77777777" w:rsidR="00921FBE" w:rsidRPr="00921FBE" w:rsidRDefault="00921FBE" w:rsidP="00921FBE">
      <w:pPr>
        <w:pStyle w:val="Heading2"/>
        <w:pBdr>
          <w:top w:val="single" w:sz="2" w:space="0" w:color="0F4761"/>
          <w:left w:val="single" w:sz="2" w:space="0" w:color="0F4761"/>
          <w:bottom w:val="single" w:sz="8" w:space="0" w:color="0F4761"/>
          <w:right w:val="single" w:sz="2" w:space="0" w:color="0F4761"/>
        </w:pBdr>
        <w:rPr>
          <w:rFonts w:ascii="Arial" w:hAnsi="Arial" w:cs="Arial"/>
        </w:rPr>
      </w:pPr>
      <w:bookmarkStart w:id="28" w:name="_Toc240133399"/>
      <w:r w:rsidRPr="00921FBE">
        <w:rPr>
          <w:rFonts w:ascii="Arial" w:hAnsi="Arial" w:cs="Arial"/>
        </w:rPr>
        <w:t>Why This Matters Beyond Earth</w:t>
      </w:r>
      <w:bookmarkEnd w:id="28"/>
    </w:p>
    <w:p w14:paraId="578FCCDF" w14:textId="77777777" w:rsidR="00921FBE" w:rsidRPr="00921FBE" w:rsidRDefault="00921FBE" w:rsidP="00921FBE">
      <w:pPr>
        <w:rPr>
          <w:rFonts w:cs="Arial"/>
        </w:rPr>
      </w:pPr>
      <w:r w:rsidRPr="00921FBE">
        <w:rPr>
          <w:rFonts w:cs="Arial"/>
        </w:rPr>
        <w:t>The same challenge of separation is highly relevant to future space missions. Long-duration missions will require local production, recovery, purification, and recycling of critical materials in environments where energy, water, consumables, maintenance, and waste handling are tightly constrained.</w:t>
      </w:r>
    </w:p>
    <w:p w14:paraId="42B36E90" w14:textId="77777777" w:rsidR="00921FBE" w:rsidRPr="00921FBE" w:rsidRDefault="00921FBE" w:rsidP="00CB272F">
      <w:pPr>
        <w:pStyle w:val="ListParagraph"/>
        <w:numPr>
          <w:ilvl w:val="0"/>
          <w:numId w:val="44"/>
        </w:numPr>
        <w:spacing w:line="278" w:lineRule="auto"/>
        <w:rPr>
          <w:rFonts w:cs="Arial"/>
        </w:rPr>
      </w:pPr>
      <w:r w:rsidRPr="00921FBE">
        <w:rPr>
          <w:rFonts w:cs="Arial"/>
        </w:rPr>
        <w:lastRenderedPageBreak/>
        <w:t>Limited energy availability</w:t>
      </w:r>
    </w:p>
    <w:p w14:paraId="78A56533" w14:textId="77777777" w:rsidR="00921FBE" w:rsidRPr="00921FBE" w:rsidRDefault="00921FBE" w:rsidP="00CB272F">
      <w:pPr>
        <w:pStyle w:val="ListParagraph"/>
        <w:numPr>
          <w:ilvl w:val="0"/>
          <w:numId w:val="44"/>
        </w:numPr>
        <w:spacing w:line="278" w:lineRule="auto"/>
        <w:rPr>
          <w:rFonts w:cs="Arial"/>
        </w:rPr>
      </w:pPr>
      <w:r w:rsidRPr="00921FBE">
        <w:rPr>
          <w:rFonts w:cs="Arial"/>
        </w:rPr>
        <w:t>Closed-loop water systems</w:t>
      </w:r>
    </w:p>
    <w:p w14:paraId="7C283C07" w14:textId="77777777" w:rsidR="00921FBE" w:rsidRPr="00921FBE" w:rsidRDefault="00921FBE" w:rsidP="00CB272F">
      <w:pPr>
        <w:pStyle w:val="ListParagraph"/>
        <w:numPr>
          <w:ilvl w:val="0"/>
          <w:numId w:val="44"/>
        </w:numPr>
        <w:spacing w:line="278" w:lineRule="auto"/>
        <w:rPr>
          <w:rFonts w:cs="Arial"/>
        </w:rPr>
      </w:pPr>
      <w:r w:rsidRPr="00921FBE">
        <w:rPr>
          <w:rFonts w:cs="Arial"/>
        </w:rPr>
        <w:t>Minimal waste generation</w:t>
      </w:r>
    </w:p>
    <w:p w14:paraId="2E93C4F7" w14:textId="77777777" w:rsidR="00921FBE" w:rsidRPr="00921FBE" w:rsidRDefault="00921FBE" w:rsidP="00CB272F">
      <w:pPr>
        <w:pStyle w:val="ListParagraph"/>
        <w:numPr>
          <w:ilvl w:val="0"/>
          <w:numId w:val="44"/>
        </w:numPr>
        <w:spacing w:line="278" w:lineRule="auto"/>
        <w:rPr>
          <w:rFonts w:cs="Arial"/>
        </w:rPr>
      </w:pPr>
      <w:r w:rsidRPr="00921FBE">
        <w:rPr>
          <w:rFonts w:cs="Arial"/>
        </w:rPr>
        <w:t>High resource-efficiency requirements</w:t>
      </w:r>
    </w:p>
    <w:p w14:paraId="75F80B46" w14:textId="77777777" w:rsidR="00921FBE" w:rsidRPr="00921FBE" w:rsidRDefault="00921FBE" w:rsidP="00CB272F">
      <w:pPr>
        <w:pStyle w:val="ListParagraph"/>
        <w:numPr>
          <w:ilvl w:val="0"/>
          <w:numId w:val="44"/>
        </w:numPr>
        <w:spacing w:line="278" w:lineRule="auto"/>
        <w:rPr>
          <w:rFonts w:cs="Arial"/>
        </w:rPr>
      </w:pPr>
      <w:r w:rsidRPr="00921FBE">
        <w:rPr>
          <w:rFonts w:cs="Arial"/>
        </w:rPr>
        <w:t>Limited replacement parts and consumables</w:t>
      </w:r>
    </w:p>
    <w:p w14:paraId="47D56A93" w14:textId="77777777" w:rsidR="00921FBE" w:rsidRPr="00921FBE" w:rsidRDefault="00921FBE" w:rsidP="00921FBE">
      <w:pPr>
        <w:rPr>
          <w:rFonts w:cs="Arial"/>
        </w:rPr>
      </w:pPr>
      <w:r w:rsidRPr="00921FBE">
        <w:rPr>
          <w:rFonts w:cs="Arial"/>
        </w:rPr>
        <w:t>Whether producing nutrients, pharmaceuticals, biomaterials, or functional chemicals, space systems will require breakthrough approaches to selectively capture, concentrate, purify, and recycle valuable molecules from aqueous systems using minimal energy.</w:t>
      </w:r>
    </w:p>
    <w:p w14:paraId="616663D7" w14:textId="77777777" w:rsidR="00921FBE" w:rsidRPr="00921FBE" w:rsidRDefault="00921FBE" w:rsidP="00921FBE">
      <w:pPr>
        <w:rPr>
          <w:rFonts w:cs="Arial"/>
        </w:rPr>
      </w:pPr>
      <w:r w:rsidRPr="00921FBE">
        <w:rPr>
          <w:rFonts w:cs="Arial"/>
        </w:rPr>
        <w:t>The challenge facing consumer goods manufacturing and future space habitation therefore converges around the same fundamental question:</w:t>
      </w:r>
    </w:p>
    <w:p w14:paraId="30111229" w14:textId="77777777" w:rsidR="00921FBE" w:rsidRPr="00921FBE" w:rsidRDefault="00921FBE" w:rsidP="00921FBE">
      <w:pPr>
        <w:pBdr>
          <w:top w:val="single" w:sz="8" w:space="0" w:color="0F4761"/>
          <w:left w:val="single" w:sz="8" w:space="0" w:color="0F4761"/>
          <w:bottom w:val="single" w:sz="8" w:space="0" w:color="0F4761"/>
          <w:right w:val="single" w:sz="8" w:space="0" w:color="0F4761"/>
        </w:pBdr>
        <w:shd w:val="clear" w:color="auto" w:fill="EAF4F8"/>
        <w:rPr>
          <w:rFonts w:cs="Arial"/>
        </w:rPr>
      </w:pPr>
      <w:r w:rsidRPr="00921FBE">
        <w:rPr>
          <w:rFonts w:cs="Arial"/>
          <w:b/>
          <w:bCs/>
        </w:rPr>
        <w:t>Core question:</w:t>
      </w:r>
      <w:r w:rsidRPr="00921FBE">
        <w:rPr>
          <w:rFonts w:cs="Arial"/>
        </w:rPr>
        <w:t xml:space="preserve"> How can </w:t>
      </w:r>
      <w:proofErr w:type="gramStart"/>
      <w:r w:rsidRPr="00921FBE">
        <w:rPr>
          <w:rFonts w:cs="Arial"/>
        </w:rPr>
        <w:t>valuable dissolved</w:t>
      </w:r>
      <w:proofErr w:type="gramEnd"/>
      <w:r w:rsidRPr="00921FBE">
        <w:rPr>
          <w:rFonts w:cs="Arial"/>
        </w:rPr>
        <w:t xml:space="preserve"> molecules be recovered from water with dramatically less energy, cost, and waste?</w:t>
      </w:r>
    </w:p>
    <w:p w14:paraId="19F28DAE" w14:textId="77777777" w:rsidR="00921FBE" w:rsidRPr="00921FBE" w:rsidRDefault="00921FBE" w:rsidP="00921FBE">
      <w:pPr>
        <w:pStyle w:val="Heading2"/>
        <w:pBdr>
          <w:top w:val="single" w:sz="2" w:space="0" w:color="0F4761"/>
          <w:left w:val="single" w:sz="2" w:space="0" w:color="0F4761"/>
          <w:bottom w:val="single" w:sz="8" w:space="0" w:color="0F4761"/>
          <w:right w:val="single" w:sz="2" w:space="0" w:color="0F4761"/>
        </w:pBdr>
        <w:rPr>
          <w:rFonts w:ascii="Arial" w:hAnsi="Arial" w:cs="Arial"/>
        </w:rPr>
      </w:pPr>
      <w:bookmarkStart w:id="29" w:name="_Toc240133400"/>
      <w:r w:rsidRPr="00921FBE">
        <w:rPr>
          <w:rFonts w:ascii="Arial" w:hAnsi="Arial" w:cs="Arial"/>
        </w:rPr>
        <w:t>Challenge Statement</w:t>
      </w:r>
      <w:bookmarkEnd w:id="29"/>
    </w:p>
    <w:p w14:paraId="09321D70" w14:textId="77777777" w:rsidR="00921FBE" w:rsidRPr="00921FBE" w:rsidRDefault="00921FBE" w:rsidP="00921FBE">
      <w:pPr>
        <w:rPr>
          <w:rFonts w:cs="Arial"/>
          <w:color w:val="0F4761"/>
          <w:sz w:val="26"/>
          <w:szCs w:val="26"/>
        </w:rPr>
      </w:pPr>
      <w:r w:rsidRPr="00921FBE">
        <w:rPr>
          <w:rFonts w:cs="Arial"/>
          <w:b/>
          <w:color w:val="0F4761"/>
          <w:sz w:val="26"/>
          <w:szCs w:val="26"/>
        </w:rPr>
        <w:t>Low-Energy Concentration and Recovery of Water-Soluble Bio-Based Molecules</w:t>
      </w:r>
    </w:p>
    <w:p w14:paraId="62A00144" w14:textId="77777777" w:rsidR="00921FBE" w:rsidRPr="00921FBE" w:rsidRDefault="00921FBE" w:rsidP="00921FBE">
      <w:pPr>
        <w:rPr>
          <w:rFonts w:cs="Arial"/>
        </w:rPr>
      </w:pPr>
      <w:r w:rsidRPr="00921FBE">
        <w:rPr>
          <w:rFonts w:cs="Arial"/>
        </w:rPr>
        <w:t>We are seeking breakthrough technologies capable of selectively capturing, concentrating, separating, and recovering valuable water-soluble molecules from dilute aqueous streams while minimizing:</w:t>
      </w:r>
    </w:p>
    <w:p w14:paraId="2F5D74A8" w14:textId="77777777" w:rsidR="00921FBE" w:rsidRPr="00921FBE" w:rsidRDefault="00921FBE" w:rsidP="00CB272F">
      <w:pPr>
        <w:pStyle w:val="ListParagraph"/>
        <w:numPr>
          <w:ilvl w:val="0"/>
          <w:numId w:val="45"/>
        </w:numPr>
        <w:spacing w:line="278" w:lineRule="auto"/>
        <w:rPr>
          <w:rFonts w:cs="Arial"/>
        </w:rPr>
      </w:pPr>
      <w:r w:rsidRPr="00921FBE">
        <w:rPr>
          <w:rFonts w:cs="Arial"/>
        </w:rPr>
        <w:t>Energy consumption</w:t>
      </w:r>
    </w:p>
    <w:p w14:paraId="2F511A8A" w14:textId="77777777" w:rsidR="00921FBE" w:rsidRPr="00921FBE" w:rsidRDefault="00921FBE" w:rsidP="00CB272F">
      <w:pPr>
        <w:pStyle w:val="ListParagraph"/>
        <w:numPr>
          <w:ilvl w:val="0"/>
          <w:numId w:val="45"/>
        </w:numPr>
        <w:spacing w:line="278" w:lineRule="auto"/>
        <w:rPr>
          <w:rFonts w:cs="Arial"/>
        </w:rPr>
      </w:pPr>
      <w:r w:rsidRPr="00921FBE">
        <w:rPr>
          <w:rFonts w:cs="Arial"/>
        </w:rPr>
        <w:t>Water usage</w:t>
      </w:r>
    </w:p>
    <w:p w14:paraId="5573DAE0" w14:textId="77777777" w:rsidR="00921FBE" w:rsidRPr="00921FBE" w:rsidRDefault="00921FBE" w:rsidP="00CB272F">
      <w:pPr>
        <w:pStyle w:val="ListParagraph"/>
        <w:numPr>
          <w:ilvl w:val="0"/>
          <w:numId w:val="45"/>
        </w:numPr>
        <w:spacing w:line="278" w:lineRule="auto"/>
        <w:rPr>
          <w:rFonts w:cs="Arial"/>
        </w:rPr>
      </w:pPr>
      <w:r w:rsidRPr="00921FBE">
        <w:rPr>
          <w:rFonts w:cs="Arial"/>
        </w:rPr>
        <w:t>Capital intensity</w:t>
      </w:r>
    </w:p>
    <w:p w14:paraId="58A0ACCC" w14:textId="77777777" w:rsidR="00921FBE" w:rsidRPr="00921FBE" w:rsidRDefault="00921FBE" w:rsidP="00CB272F">
      <w:pPr>
        <w:pStyle w:val="ListParagraph"/>
        <w:numPr>
          <w:ilvl w:val="0"/>
          <w:numId w:val="45"/>
        </w:numPr>
        <w:spacing w:line="278" w:lineRule="auto"/>
        <w:rPr>
          <w:rFonts w:cs="Arial"/>
        </w:rPr>
      </w:pPr>
      <w:r w:rsidRPr="00921FBE">
        <w:rPr>
          <w:rFonts w:cs="Arial"/>
        </w:rPr>
        <w:t>Consumables</w:t>
      </w:r>
    </w:p>
    <w:p w14:paraId="2711FDC1" w14:textId="77777777" w:rsidR="00921FBE" w:rsidRPr="00921FBE" w:rsidRDefault="00921FBE" w:rsidP="00CB272F">
      <w:pPr>
        <w:pStyle w:val="ListParagraph"/>
        <w:numPr>
          <w:ilvl w:val="0"/>
          <w:numId w:val="45"/>
        </w:numPr>
        <w:spacing w:line="278" w:lineRule="auto"/>
        <w:rPr>
          <w:rFonts w:cs="Arial"/>
        </w:rPr>
      </w:pPr>
      <w:r w:rsidRPr="00921FBE">
        <w:rPr>
          <w:rFonts w:cs="Arial"/>
        </w:rPr>
        <w:t>Waste generation</w:t>
      </w:r>
    </w:p>
    <w:p w14:paraId="7840A150" w14:textId="77777777" w:rsidR="00921FBE" w:rsidRPr="00921FBE" w:rsidRDefault="00921FBE" w:rsidP="00921FBE">
      <w:pPr>
        <w:rPr>
          <w:rFonts w:cs="Arial"/>
        </w:rPr>
      </w:pPr>
      <w:r w:rsidRPr="00921FBE">
        <w:rPr>
          <w:rFonts w:cs="Arial"/>
        </w:rPr>
        <w:t>Solutions should be suitable for current bio-manufacturing and future resource-constrained environments.</w:t>
      </w:r>
    </w:p>
    <w:p w14:paraId="62796FD9" w14:textId="77777777" w:rsidR="00921FBE" w:rsidRPr="00921FBE" w:rsidRDefault="00921FBE" w:rsidP="00921FBE">
      <w:pPr>
        <w:pStyle w:val="Heading2"/>
        <w:pBdr>
          <w:top w:val="single" w:sz="2" w:space="0" w:color="0F4761"/>
          <w:left w:val="single" w:sz="2" w:space="0" w:color="0F4761"/>
          <w:bottom w:val="single" w:sz="8" w:space="0" w:color="0F4761"/>
          <w:right w:val="single" w:sz="2" w:space="0" w:color="0F4761"/>
        </w:pBdr>
        <w:rPr>
          <w:rFonts w:ascii="Arial" w:hAnsi="Arial" w:cs="Arial"/>
        </w:rPr>
      </w:pPr>
      <w:bookmarkStart w:id="30" w:name="_Toc240133401"/>
      <w:r w:rsidRPr="00921FBE">
        <w:rPr>
          <w:rFonts w:ascii="Arial" w:hAnsi="Arial" w:cs="Arial"/>
        </w:rPr>
        <w:t>Areas of Interest</w:t>
      </w:r>
      <w:bookmarkEnd w:id="30"/>
    </w:p>
    <w:p w14:paraId="67C4C659" w14:textId="77777777" w:rsidR="00921FBE" w:rsidRPr="00921FBE" w:rsidRDefault="00921FBE" w:rsidP="00921FBE">
      <w:pPr>
        <w:rPr>
          <w:rFonts w:cs="Arial"/>
        </w:rPr>
      </w:pPr>
      <w:r w:rsidRPr="00921FBE">
        <w:rPr>
          <w:rFonts w:cs="Arial"/>
        </w:rPr>
        <w:t>We are not looking for incremental improvements to conventional separation systems. We are interested in disruptive approaches inspired by biology, advanced materials, electrochemical systems, and extreme-environment engineering.</w:t>
      </w:r>
    </w:p>
    <w:p w14:paraId="02FA4177" w14:textId="77777777" w:rsidR="00921FBE" w:rsidRPr="00921FBE" w:rsidRDefault="00921FBE" w:rsidP="00921FBE">
      <w:pPr>
        <w:pStyle w:val="Heading3"/>
        <w:rPr>
          <w:rFonts w:ascii="Arial" w:hAnsi="Arial" w:cs="Arial"/>
        </w:rPr>
      </w:pPr>
      <w:bookmarkStart w:id="31" w:name="_Toc240133402"/>
      <w:r w:rsidRPr="00921FBE">
        <w:rPr>
          <w:rFonts w:ascii="Arial" w:hAnsi="Arial" w:cs="Arial"/>
        </w:rPr>
        <w:t>Smart Selective Absorbents</w:t>
      </w:r>
      <w:bookmarkEnd w:id="31"/>
    </w:p>
    <w:p w14:paraId="55AE32BE" w14:textId="77777777" w:rsidR="00921FBE" w:rsidRPr="00921FBE" w:rsidRDefault="00921FBE" w:rsidP="00921FBE">
      <w:pPr>
        <w:rPr>
          <w:rFonts w:cs="Arial"/>
        </w:rPr>
      </w:pPr>
      <w:r w:rsidRPr="00921FBE">
        <w:rPr>
          <w:rFonts w:cs="Arial"/>
        </w:rPr>
        <w:t>Materials that selectively bind target molecules, reject water, release captured molecules with minimal energy input, and remain stable over many operating cycles.</w:t>
      </w:r>
    </w:p>
    <w:p w14:paraId="16DD8BEE" w14:textId="77777777" w:rsidR="00921FBE" w:rsidRPr="00921FBE" w:rsidRDefault="00921FBE" w:rsidP="00921FBE">
      <w:pPr>
        <w:pStyle w:val="Heading3"/>
        <w:rPr>
          <w:rFonts w:ascii="Arial" w:hAnsi="Arial" w:cs="Arial"/>
        </w:rPr>
      </w:pPr>
      <w:bookmarkStart w:id="32" w:name="_Toc240133403"/>
      <w:r w:rsidRPr="00921FBE">
        <w:rPr>
          <w:rFonts w:ascii="Arial" w:hAnsi="Arial" w:cs="Arial"/>
        </w:rPr>
        <w:t>Switchable Capture Systems</w:t>
      </w:r>
      <w:bookmarkEnd w:id="32"/>
    </w:p>
    <w:p w14:paraId="4C4DD8F7" w14:textId="77777777" w:rsidR="00921FBE" w:rsidRPr="00921FBE" w:rsidRDefault="00921FBE" w:rsidP="00921FBE">
      <w:pPr>
        <w:rPr>
          <w:rFonts w:cs="Arial"/>
        </w:rPr>
      </w:pPr>
      <w:r w:rsidRPr="00921FBE">
        <w:rPr>
          <w:rFonts w:cs="Arial"/>
        </w:rPr>
        <w:t>Materials or systems that change affinity in response to temperature, pressure, light, electric fields, magnetic fields, or pH, enabling selective uptake and low-energy release.</w:t>
      </w:r>
    </w:p>
    <w:p w14:paraId="61895BB6" w14:textId="77777777" w:rsidR="00921FBE" w:rsidRPr="00921FBE" w:rsidRDefault="00921FBE" w:rsidP="00921FBE">
      <w:pPr>
        <w:pStyle w:val="Heading3"/>
        <w:rPr>
          <w:rFonts w:ascii="Arial" w:hAnsi="Arial" w:cs="Arial"/>
        </w:rPr>
      </w:pPr>
      <w:bookmarkStart w:id="33" w:name="_Toc240133404"/>
      <w:r w:rsidRPr="00921FBE">
        <w:rPr>
          <w:rFonts w:ascii="Arial" w:hAnsi="Arial" w:cs="Arial"/>
        </w:rPr>
        <w:lastRenderedPageBreak/>
        <w:t>Biomimetic Systems</w:t>
      </w:r>
      <w:bookmarkEnd w:id="33"/>
    </w:p>
    <w:p w14:paraId="6D90491B" w14:textId="77777777" w:rsidR="00921FBE" w:rsidRPr="00921FBE" w:rsidRDefault="00921FBE" w:rsidP="00921FBE">
      <w:pPr>
        <w:rPr>
          <w:rFonts w:cs="Arial"/>
        </w:rPr>
      </w:pPr>
      <w:r w:rsidRPr="00921FBE">
        <w:rPr>
          <w:rFonts w:cs="Arial"/>
        </w:rPr>
        <w:t>Nature routinely concentrates molecules from dilute environments through mechanisms such as cell membranes, ion channels, aquaporins, and protein binding systems. We are interested in approaches that translate these principles into scalable recovery technologies.</w:t>
      </w:r>
    </w:p>
    <w:p w14:paraId="5351718A" w14:textId="77777777" w:rsidR="00921FBE" w:rsidRPr="00921FBE" w:rsidRDefault="00921FBE" w:rsidP="00921FBE">
      <w:pPr>
        <w:pStyle w:val="Heading3"/>
        <w:rPr>
          <w:rFonts w:ascii="Arial" w:hAnsi="Arial" w:cs="Arial"/>
        </w:rPr>
      </w:pPr>
      <w:bookmarkStart w:id="34" w:name="_Toc240133405"/>
      <w:r w:rsidRPr="00921FBE">
        <w:rPr>
          <w:rFonts w:ascii="Arial" w:hAnsi="Arial" w:cs="Arial"/>
        </w:rPr>
        <w:t>Responsive Hydrogels and Superabsorbers</w:t>
      </w:r>
      <w:bookmarkEnd w:id="34"/>
    </w:p>
    <w:p w14:paraId="767DA827" w14:textId="77777777" w:rsidR="00921FBE" w:rsidRPr="00921FBE" w:rsidRDefault="00921FBE" w:rsidP="00921FBE">
      <w:pPr>
        <w:rPr>
          <w:rFonts w:cs="Arial"/>
        </w:rPr>
      </w:pPr>
      <w:r w:rsidRPr="00921FBE">
        <w:rPr>
          <w:rFonts w:cs="Arial"/>
        </w:rPr>
        <w:t>Novel materials capable of removing water, capturing target molecules, and releasing concentrated product on demand with very limited energy requirements.</w:t>
      </w:r>
    </w:p>
    <w:p w14:paraId="4DA8C505" w14:textId="77777777" w:rsidR="00921FBE" w:rsidRPr="00921FBE" w:rsidRDefault="00921FBE" w:rsidP="00921FBE">
      <w:pPr>
        <w:pStyle w:val="Heading3"/>
        <w:rPr>
          <w:rFonts w:ascii="Arial" w:hAnsi="Arial" w:cs="Arial"/>
        </w:rPr>
      </w:pPr>
      <w:bookmarkStart w:id="35" w:name="_Toc240133406"/>
      <w:r w:rsidRPr="00921FBE">
        <w:rPr>
          <w:rFonts w:ascii="Arial" w:hAnsi="Arial" w:cs="Arial"/>
        </w:rPr>
        <w:t>Advanced Electrochemical Approaches</w:t>
      </w:r>
      <w:bookmarkEnd w:id="35"/>
    </w:p>
    <w:p w14:paraId="5E9B3D89" w14:textId="77777777" w:rsidR="00921FBE" w:rsidRPr="00921FBE" w:rsidRDefault="00921FBE" w:rsidP="00921FBE">
      <w:pPr>
        <w:rPr>
          <w:rFonts w:cs="Arial"/>
        </w:rPr>
      </w:pPr>
      <w:r w:rsidRPr="00921FBE">
        <w:rPr>
          <w:rFonts w:cs="Arial"/>
        </w:rPr>
        <w:t>Use of electric fields, electro-osmosis, electrodialysis, capacitive systems, or related approaches to concentrate target molecules without relying on thermal evaporation.</w:t>
      </w:r>
    </w:p>
    <w:p w14:paraId="0494A01E" w14:textId="77777777" w:rsidR="00921FBE" w:rsidRPr="00921FBE" w:rsidRDefault="00921FBE" w:rsidP="00921FBE">
      <w:pPr>
        <w:pStyle w:val="Heading3"/>
        <w:rPr>
          <w:rFonts w:ascii="Arial" w:hAnsi="Arial" w:cs="Arial"/>
        </w:rPr>
      </w:pPr>
      <w:bookmarkStart w:id="36" w:name="_Toc240133407"/>
      <w:r w:rsidRPr="00921FBE">
        <w:rPr>
          <w:rFonts w:ascii="Arial" w:hAnsi="Arial" w:cs="Arial"/>
        </w:rPr>
        <w:t>Space-Inspired Recovery and Closed-Loop Technologies</w:t>
      </w:r>
      <w:bookmarkEnd w:id="36"/>
    </w:p>
    <w:p w14:paraId="54CF4F3A" w14:textId="77777777" w:rsidR="00921FBE" w:rsidRPr="00921FBE" w:rsidRDefault="00921FBE" w:rsidP="00921FBE">
      <w:pPr>
        <w:rPr>
          <w:rFonts w:cs="Arial"/>
        </w:rPr>
      </w:pPr>
      <w:r w:rsidRPr="00921FBE">
        <w:rPr>
          <w:rFonts w:cs="Arial"/>
        </w:rPr>
        <w:t>Technologies developed for water recovery, life-support systems, in-situ resource utilization, closed-loop manufacturing, or environmental control systems may offer valuable routes to terrestrial applications.</w:t>
      </w:r>
    </w:p>
    <w:p w14:paraId="301F43FB" w14:textId="77777777" w:rsidR="00921FBE" w:rsidRPr="00921FBE" w:rsidRDefault="00921FBE" w:rsidP="00921FBE">
      <w:pPr>
        <w:pStyle w:val="Heading2"/>
        <w:pBdr>
          <w:top w:val="single" w:sz="2" w:space="0" w:color="0F4761"/>
          <w:left w:val="single" w:sz="2" w:space="0" w:color="0F4761"/>
          <w:bottom w:val="single" w:sz="8" w:space="0" w:color="0F4761"/>
          <w:right w:val="single" w:sz="2" w:space="0" w:color="0F4761"/>
        </w:pBdr>
        <w:rPr>
          <w:rFonts w:ascii="Arial" w:hAnsi="Arial" w:cs="Arial"/>
        </w:rPr>
      </w:pPr>
      <w:bookmarkStart w:id="37" w:name="_Toc240133408"/>
      <w:r w:rsidRPr="00921FBE">
        <w:rPr>
          <w:rFonts w:ascii="Arial" w:hAnsi="Arial" w:cs="Arial"/>
        </w:rPr>
        <w:t>Desired Outcomes</w:t>
      </w:r>
      <w:bookmarkEnd w:id="37"/>
    </w:p>
    <w:p w14:paraId="3A7FBAD7" w14:textId="77777777" w:rsidR="00921FBE" w:rsidRPr="00921FBE" w:rsidRDefault="00921FBE" w:rsidP="00921FBE">
      <w:pPr>
        <w:rPr>
          <w:rFonts w:cs="Arial"/>
        </w:rPr>
      </w:pPr>
      <w:r w:rsidRPr="00921FBE">
        <w:rPr>
          <w:rFonts w:cs="Arial"/>
        </w:rPr>
        <w:t>A successful solution could enable:</w:t>
      </w:r>
    </w:p>
    <w:p w14:paraId="512FAEF5" w14:textId="77777777" w:rsidR="00921FBE" w:rsidRPr="00921FBE" w:rsidRDefault="00921FBE" w:rsidP="00CB272F">
      <w:pPr>
        <w:pStyle w:val="ListParagraph"/>
        <w:numPr>
          <w:ilvl w:val="0"/>
          <w:numId w:val="46"/>
        </w:numPr>
        <w:spacing w:line="278" w:lineRule="auto"/>
        <w:rPr>
          <w:rFonts w:cs="Arial"/>
        </w:rPr>
      </w:pPr>
      <w:r w:rsidRPr="00921FBE">
        <w:rPr>
          <w:rFonts w:cs="Arial"/>
        </w:rPr>
        <w:t>Lower-cost bio-based ingredients</w:t>
      </w:r>
    </w:p>
    <w:p w14:paraId="2D57D994" w14:textId="77777777" w:rsidR="00921FBE" w:rsidRPr="00921FBE" w:rsidRDefault="00921FBE" w:rsidP="00CB272F">
      <w:pPr>
        <w:pStyle w:val="ListParagraph"/>
        <w:numPr>
          <w:ilvl w:val="0"/>
          <w:numId w:val="46"/>
        </w:numPr>
        <w:spacing w:line="278" w:lineRule="auto"/>
        <w:rPr>
          <w:rFonts w:cs="Arial"/>
        </w:rPr>
      </w:pPr>
      <w:r w:rsidRPr="00921FBE">
        <w:rPr>
          <w:rFonts w:cs="Arial"/>
        </w:rPr>
        <w:t>Reduced manufacturing carbon footprint</w:t>
      </w:r>
    </w:p>
    <w:p w14:paraId="1E42BDD0" w14:textId="77777777" w:rsidR="00921FBE" w:rsidRPr="00921FBE" w:rsidRDefault="00921FBE" w:rsidP="00CB272F">
      <w:pPr>
        <w:pStyle w:val="ListParagraph"/>
        <w:numPr>
          <w:ilvl w:val="0"/>
          <w:numId w:val="46"/>
        </w:numPr>
        <w:spacing w:line="278" w:lineRule="auto"/>
        <w:rPr>
          <w:rFonts w:cs="Arial"/>
        </w:rPr>
      </w:pPr>
      <w:r w:rsidRPr="00921FBE">
        <w:rPr>
          <w:rFonts w:cs="Arial"/>
        </w:rPr>
        <w:t>Reduced water usage</w:t>
      </w:r>
    </w:p>
    <w:p w14:paraId="01788D23" w14:textId="77777777" w:rsidR="00921FBE" w:rsidRPr="00921FBE" w:rsidRDefault="00921FBE" w:rsidP="00CB272F">
      <w:pPr>
        <w:pStyle w:val="ListParagraph"/>
        <w:numPr>
          <w:ilvl w:val="0"/>
          <w:numId w:val="46"/>
        </w:numPr>
        <w:spacing w:line="278" w:lineRule="auto"/>
        <w:rPr>
          <w:rFonts w:cs="Arial"/>
        </w:rPr>
      </w:pPr>
      <w:r w:rsidRPr="00921FBE">
        <w:rPr>
          <w:rFonts w:cs="Arial"/>
        </w:rPr>
        <w:t>Greater feedstock flexibility</w:t>
      </w:r>
    </w:p>
    <w:p w14:paraId="08CB3084" w14:textId="77777777" w:rsidR="00921FBE" w:rsidRPr="00921FBE" w:rsidRDefault="00921FBE" w:rsidP="00CB272F">
      <w:pPr>
        <w:pStyle w:val="ListParagraph"/>
        <w:numPr>
          <w:ilvl w:val="0"/>
          <w:numId w:val="46"/>
        </w:numPr>
        <w:spacing w:line="278" w:lineRule="auto"/>
        <w:rPr>
          <w:rFonts w:cs="Arial"/>
        </w:rPr>
      </w:pPr>
      <w:r w:rsidRPr="00921FBE">
        <w:rPr>
          <w:rFonts w:cs="Arial"/>
        </w:rPr>
        <w:t>Access to previously uneconomic molecules</w:t>
      </w:r>
    </w:p>
    <w:p w14:paraId="7610DF4A" w14:textId="77777777" w:rsidR="00921FBE" w:rsidRPr="00921FBE" w:rsidRDefault="00921FBE" w:rsidP="00CB272F">
      <w:pPr>
        <w:pStyle w:val="ListParagraph"/>
        <w:numPr>
          <w:ilvl w:val="0"/>
          <w:numId w:val="46"/>
        </w:numPr>
        <w:spacing w:line="278" w:lineRule="auto"/>
        <w:rPr>
          <w:rFonts w:cs="Arial"/>
        </w:rPr>
      </w:pPr>
      <w:r w:rsidRPr="00921FBE">
        <w:rPr>
          <w:rFonts w:cs="Arial"/>
        </w:rPr>
        <w:t>Increased resilience of future supply chains</w:t>
      </w:r>
    </w:p>
    <w:p w14:paraId="00530D17" w14:textId="77777777" w:rsidR="00921FBE" w:rsidRPr="00921FBE" w:rsidRDefault="00921FBE" w:rsidP="00921FBE">
      <w:pPr>
        <w:rPr>
          <w:rFonts w:cs="Arial"/>
        </w:rPr>
      </w:pPr>
      <w:r w:rsidRPr="00921FBE">
        <w:rPr>
          <w:rFonts w:cs="Arial"/>
        </w:rPr>
        <w:t>For space applications, the same technologies could support:</w:t>
      </w:r>
    </w:p>
    <w:p w14:paraId="0D29D625" w14:textId="77777777" w:rsidR="00921FBE" w:rsidRPr="00921FBE" w:rsidRDefault="00921FBE" w:rsidP="00CB272F">
      <w:pPr>
        <w:pStyle w:val="ListParagraph"/>
        <w:numPr>
          <w:ilvl w:val="0"/>
          <w:numId w:val="47"/>
        </w:numPr>
        <w:spacing w:line="278" w:lineRule="auto"/>
        <w:rPr>
          <w:rFonts w:cs="Arial"/>
        </w:rPr>
      </w:pPr>
      <w:r w:rsidRPr="00921FBE">
        <w:rPr>
          <w:rFonts w:cs="Arial"/>
        </w:rPr>
        <w:t>Closed-loop resource recovery</w:t>
      </w:r>
    </w:p>
    <w:p w14:paraId="1908F20F" w14:textId="77777777" w:rsidR="00921FBE" w:rsidRPr="00921FBE" w:rsidRDefault="00921FBE" w:rsidP="00CB272F">
      <w:pPr>
        <w:pStyle w:val="ListParagraph"/>
        <w:numPr>
          <w:ilvl w:val="0"/>
          <w:numId w:val="47"/>
        </w:numPr>
        <w:spacing w:line="278" w:lineRule="auto"/>
        <w:rPr>
          <w:rFonts w:cs="Arial"/>
        </w:rPr>
      </w:pPr>
      <w:r w:rsidRPr="00921FBE">
        <w:rPr>
          <w:rFonts w:cs="Arial"/>
        </w:rPr>
        <w:t>Sustainable habitation systems</w:t>
      </w:r>
    </w:p>
    <w:p w14:paraId="073AD62D" w14:textId="77777777" w:rsidR="00921FBE" w:rsidRPr="00921FBE" w:rsidRDefault="00921FBE" w:rsidP="00CB272F">
      <w:pPr>
        <w:pStyle w:val="ListParagraph"/>
        <w:numPr>
          <w:ilvl w:val="0"/>
          <w:numId w:val="47"/>
        </w:numPr>
        <w:spacing w:line="278" w:lineRule="auto"/>
        <w:rPr>
          <w:rFonts w:cs="Arial"/>
        </w:rPr>
      </w:pPr>
      <w:r w:rsidRPr="00921FBE">
        <w:rPr>
          <w:rFonts w:cs="Arial"/>
        </w:rPr>
        <w:t>Local production and purification of critical materials</w:t>
      </w:r>
    </w:p>
    <w:p w14:paraId="7737316E" w14:textId="77777777" w:rsidR="00921FBE" w:rsidRPr="00921FBE" w:rsidRDefault="00921FBE" w:rsidP="00CB272F">
      <w:pPr>
        <w:pStyle w:val="ListParagraph"/>
        <w:numPr>
          <w:ilvl w:val="0"/>
          <w:numId w:val="47"/>
        </w:numPr>
        <w:spacing w:line="278" w:lineRule="auto"/>
        <w:rPr>
          <w:rFonts w:cs="Arial"/>
        </w:rPr>
      </w:pPr>
      <w:r w:rsidRPr="00921FBE">
        <w:rPr>
          <w:rFonts w:cs="Arial"/>
        </w:rPr>
        <w:t>Reduced mission resupply requirements</w:t>
      </w:r>
    </w:p>
    <w:p w14:paraId="1B70508C" w14:textId="77777777" w:rsidR="00921FBE" w:rsidRPr="00921FBE" w:rsidRDefault="00921FBE" w:rsidP="00921FBE">
      <w:pPr>
        <w:pStyle w:val="Heading2"/>
        <w:pBdr>
          <w:top w:val="single" w:sz="2" w:space="0" w:color="0F4761"/>
          <w:left w:val="single" w:sz="2" w:space="0" w:color="0F4761"/>
          <w:bottom w:val="single" w:sz="8" w:space="0" w:color="0F4761"/>
          <w:right w:val="single" w:sz="2" w:space="0" w:color="0F4761"/>
        </w:pBdr>
        <w:rPr>
          <w:rFonts w:ascii="Arial" w:hAnsi="Arial" w:cs="Arial"/>
        </w:rPr>
      </w:pPr>
      <w:bookmarkStart w:id="38" w:name="_Toc240133409"/>
      <w:r w:rsidRPr="00921FBE">
        <w:rPr>
          <w:rFonts w:ascii="Arial" w:hAnsi="Arial" w:cs="Arial"/>
        </w:rPr>
        <w:t>Strategic Relevance</w:t>
      </w:r>
      <w:bookmarkEnd w:id="38"/>
    </w:p>
    <w:p w14:paraId="3ECEC53B" w14:textId="77777777" w:rsidR="00921FBE" w:rsidRPr="00921FBE" w:rsidRDefault="00921FBE" w:rsidP="00921FBE">
      <w:pPr>
        <w:rPr>
          <w:rFonts w:cs="Arial"/>
        </w:rPr>
      </w:pPr>
      <w:r w:rsidRPr="00921FBE">
        <w:rPr>
          <w:rFonts w:cs="Arial"/>
        </w:rPr>
        <w:t>This challenge addresses one of the most important bottlenecks in bio-based chemistry: not how to make bio-based molecules, but how to recover them economically and responsibly.</w:t>
      </w:r>
    </w:p>
    <w:p w14:paraId="1D712F05" w14:textId="77777777" w:rsidR="00921FBE" w:rsidRPr="00921FBE" w:rsidRDefault="00921FBE" w:rsidP="00921FBE">
      <w:pPr>
        <w:rPr>
          <w:rFonts w:cs="Arial"/>
        </w:rPr>
      </w:pPr>
      <w:r w:rsidRPr="00921FBE">
        <w:rPr>
          <w:rFonts w:cs="Arial"/>
        </w:rPr>
        <w:t>The industry has made major advances in biotechnology and fermentation. The next breakthrough may not come from making better molecules, but from making recovery dramatically more efficient.</w:t>
      </w:r>
    </w:p>
    <w:p w14:paraId="1A258A57" w14:textId="77777777" w:rsidR="00921FBE" w:rsidRPr="00921FBE" w:rsidRDefault="00921FBE" w:rsidP="00921FBE">
      <w:pPr>
        <w:rPr>
          <w:rFonts w:cs="Arial"/>
        </w:rPr>
      </w:pPr>
      <w:r w:rsidRPr="00921FBE">
        <w:rPr>
          <w:rFonts w:cs="Arial"/>
        </w:rPr>
        <w:t>A step-change in low-energy concentration technology could unlock entirely new classes of ingredients that are currently too expensive, too dilute, or too difficult to commercialize.</w:t>
      </w:r>
    </w:p>
    <w:p w14:paraId="2D38F5F0" w14:textId="77777777" w:rsidR="00921FBE" w:rsidRPr="00921FBE" w:rsidRDefault="00921FBE" w:rsidP="00921FBE">
      <w:pPr>
        <w:rPr>
          <w:rFonts w:cs="Arial"/>
        </w:rPr>
      </w:pPr>
      <w:r w:rsidRPr="00921FBE">
        <w:rPr>
          <w:rFonts w:cs="Arial"/>
        </w:rPr>
        <w:lastRenderedPageBreak/>
        <w:t>For P&amp;G, this could fundamentally improve affordability and scalability of future surfactants, polymers, fragrances, and performance actives while creating strategic advantage in the transition away from fossil-derived ingredients.</w:t>
      </w:r>
    </w:p>
    <w:p w14:paraId="7D3FB2DA" w14:textId="77777777" w:rsidR="00921FBE" w:rsidRPr="00921FBE" w:rsidRDefault="00921FBE" w:rsidP="00921FBE">
      <w:pPr>
        <w:pBdr>
          <w:top w:val="single" w:sz="8" w:space="0" w:color="0F4761"/>
          <w:left w:val="single" w:sz="8" w:space="0" w:color="0F4761"/>
          <w:bottom w:val="single" w:sz="8" w:space="0" w:color="0F4761"/>
          <w:right w:val="single" w:sz="8" w:space="0" w:color="0F4761"/>
        </w:pBdr>
        <w:shd w:val="clear" w:color="auto" w:fill="EAF4F8"/>
        <w:rPr>
          <w:rFonts w:cs="Arial"/>
        </w:rPr>
      </w:pPr>
      <w:r w:rsidRPr="00921FBE">
        <w:rPr>
          <w:rFonts w:cs="Arial"/>
          <w:b/>
          <w:bCs/>
        </w:rPr>
        <w:t>Challenge ambition:</w:t>
      </w:r>
      <w:r w:rsidRPr="00921FBE">
        <w:rPr>
          <w:rFonts w:cs="Arial"/>
        </w:rPr>
        <w:t xml:space="preserve"> Identify technologies that can do for molecule recovery what renewable energy did for electricity: reduce resource intensity by an order of magnitude and unlock a new sustainable manufacturing paradigm.</w:t>
      </w:r>
    </w:p>
    <w:p w14:paraId="0F9B5C97" w14:textId="77777777" w:rsidR="00921FBE" w:rsidRPr="00921FBE" w:rsidRDefault="00921FBE" w:rsidP="00921FBE">
      <w:pPr>
        <w:rPr>
          <w:rFonts w:cs="Arial"/>
        </w:rPr>
      </w:pPr>
    </w:p>
    <w:p w14:paraId="2E0E6E88" w14:textId="77777777" w:rsidR="0099600E" w:rsidRPr="00921FBE" w:rsidRDefault="0099600E" w:rsidP="0099600E">
      <w:pPr>
        <w:rPr>
          <w:rFonts w:cs="Arial"/>
        </w:rPr>
      </w:pPr>
    </w:p>
    <w:p w14:paraId="4AACD8BE" w14:textId="77777777" w:rsidR="0099600E" w:rsidRPr="00921FBE" w:rsidRDefault="0099600E" w:rsidP="0099600E">
      <w:pPr>
        <w:spacing w:before="100" w:beforeAutospacing="1" w:after="100" w:afterAutospacing="1"/>
        <w:rPr>
          <w:rFonts w:cs="Arial"/>
        </w:rPr>
      </w:pPr>
    </w:p>
    <w:p w14:paraId="7D18FEFD" w14:textId="77777777" w:rsidR="0099600E" w:rsidRPr="00921FBE" w:rsidRDefault="0099600E" w:rsidP="0099600E">
      <w:pPr>
        <w:spacing w:before="100" w:beforeAutospacing="1" w:after="100" w:afterAutospacing="1"/>
        <w:rPr>
          <w:rFonts w:cs="Arial"/>
        </w:rPr>
      </w:pPr>
    </w:p>
    <w:sectPr w:rsidR="0099600E" w:rsidRPr="00921FBE" w:rsidSect="00352C7D">
      <w:headerReference w:type="default" r:id="rId10"/>
      <w:footerReference w:type="default" r:id="rId11"/>
      <w:headerReference w:type="first" r:id="rId12"/>
      <w:footerReference w:type="first" r:id="rId13"/>
      <w:pgSz w:w="11907" w:h="16840" w:code="9"/>
      <w:pgMar w:top="2398" w:right="851" w:bottom="1134"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0448C" w14:textId="77777777" w:rsidR="00D6254F" w:rsidRDefault="00D6254F" w:rsidP="003A1DFC">
      <w:pPr>
        <w:spacing w:line="240" w:lineRule="auto"/>
      </w:pPr>
      <w:r>
        <w:separator/>
      </w:r>
    </w:p>
  </w:endnote>
  <w:endnote w:type="continuationSeparator" w:id="0">
    <w:p w14:paraId="1BBE352A" w14:textId="77777777" w:rsidR="00D6254F" w:rsidRDefault="00D6254F" w:rsidP="003A1DFC">
      <w:pPr>
        <w:spacing w:line="240" w:lineRule="auto"/>
      </w:pPr>
      <w:r>
        <w:continuationSeparator/>
      </w:r>
    </w:p>
  </w:endnote>
  <w:endnote w:type="continuationNotice" w:id="1">
    <w:p w14:paraId="05BFC401" w14:textId="77777777" w:rsidR="00D6254F" w:rsidRDefault="00D6254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font>
  <w:font w:name="NotesStyle-BoldTf">
    <w:panose1 w:val="02000806040000020004"/>
    <w:charset w:val="00"/>
    <w:family w:val="auto"/>
    <w:pitch w:val="variable"/>
    <w:sig w:usb0="800000AF" w:usb1="4000204A" w:usb2="00000000" w:usb3="00000000" w:csb0="00000001" w:csb1="00000000"/>
  </w:font>
  <w:font w:name="NotesEsa">
    <w:panose1 w:val="02000506030000020004"/>
    <w:charset w:val="00"/>
    <w:family w:val="auto"/>
    <w:pitch w:val="variable"/>
    <w:sig w:usb0="800000EF" w:usb1="4000206A" w:usb2="00000000" w:usb3="00000000" w:csb0="00000093"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0E5B7" w14:textId="77777777" w:rsidR="002A7B03" w:rsidRDefault="00D6254F" w:rsidP="00A102D4">
    <w:pPr>
      <w:pStyle w:val="Footer"/>
      <w:spacing w:after="260"/>
    </w:pPr>
    <w:sdt>
      <w:sdtPr>
        <w:id w:val="536938466"/>
        <w:docPartObj>
          <w:docPartGallery w:val="Page Numbers (Top of Page)"/>
          <w:docPartUnique/>
        </w:docPartObj>
      </w:sdtPr>
      <w:sdtEndPr/>
      <w:sdtContent>
        <w:r w:rsidR="002A7B03" w:rsidRPr="0090624B">
          <w:rPr>
            <w:rFonts w:cs="Arial"/>
            <w:noProof/>
            <w:color w:val="033142"/>
            <w:lang w:eastAsia="en-GB"/>
          </w:rPr>
          <w:drawing>
            <wp:anchor distT="0" distB="0" distL="114300" distR="114300" simplePos="0" relativeHeight="251658242" behindDoc="0" locked="0" layoutInCell="1" allowOverlap="1" wp14:anchorId="6E729C3B" wp14:editId="3DE06777">
              <wp:simplePos x="0" y="0"/>
              <wp:positionH relativeFrom="column">
                <wp:posOffset>4800457</wp:posOffset>
              </wp:positionH>
              <wp:positionV relativeFrom="page">
                <wp:posOffset>9836150</wp:posOffset>
              </wp:positionV>
              <wp:extent cx="1497600" cy="532800"/>
              <wp:effectExtent l="0" t="0" r="7620" b="0"/>
              <wp:wrapNone/>
              <wp:docPr id="3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card_BG_guide_2019-15.png"/>
                      <pic:cNvPicPr/>
                    </pic:nvPicPr>
                    <pic:blipFill>
                      <a:blip r:embed="rId1">
                        <a:extLst>
                          <a:ext uri="{28A0092B-C50C-407E-A947-70E740481C1C}">
                            <a14:useLocalDpi xmlns:a14="http://schemas.microsoft.com/office/drawing/2010/main" val="0"/>
                          </a:ext>
                        </a:extLst>
                      </a:blip>
                      <a:stretch>
                        <a:fillRect/>
                      </a:stretch>
                    </pic:blipFill>
                    <pic:spPr>
                      <a:xfrm>
                        <a:off x="0" y="0"/>
                        <a:ext cx="1497600" cy="532800"/>
                      </a:xfrm>
                      <a:prstGeom prst="rect">
                        <a:avLst/>
                      </a:prstGeom>
                    </pic:spPr>
                  </pic:pic>
                </a:graphicData>
              </a:graphic>
              <wp14:sizeRelH relativeFrom="page">
                <wp14:pctWidth>0</wp14:pctWidth>
              </wp14:sizeRelH>
              <wp14:sizeRelV relativeFrom="page">
                <wp14:pctHeight>0</wp14:pctHeight>
              </wp14:sizeRelV>
            </wp:anchor>
          </w:drawing>
        </w:r>
        <w:r w:rsidR="002A7B03" w:rsidRPr="0057350D">
          <w:rPr>
            <w:rFonts w:cs="Arial"/>
            <w:sz w:val="16"/>
            <w:szCs w:val="16"/>
          </w:rPr>
          <w:t xml:space="preserve">Page </w:t>
        </w:r>
        <w:r w:rsidR="002A7B03" w:rsidRPr="0057350D">
          <w:rPr>
            <w:rFonts w:cs="Arial"/>
            <w:bCs/>
            <w:sz w:val="16"/>
            <w:szCs w:val="16"/>
          </w:rPr>
          <w:fldChar w:fldCharType="begin"/>
        </w:r>
        <w:r w:rsidR="002A7B03" w:rsidRPr="0057350D">
          <w:rPr>
            <w:rFonts w:cs="Arial"/>
            <w:bCs/>
            <w:sz w:val="16"/>
            <w:szCs w:val="16"/>
          </w:rPr>
          <w:instrText xml:space="preserve"> PAGE </w:instrText>
        </w:r>
        <w:r w:rsidR="002A7B03" w:rsidRPr="0057350D">
          <w:rPr>
            <w:rFonts w:cs="Arial"/>
            <w:bCs/>
            <w:sz w:val="16"/>
            <w:szCs w:val="16"/>
          </w:rPr>
          <w:fldChar w:fldCharType="separate"/>
        </w:r>
        <w:r w:rsidR="002A7B03">
          <w:rPr>
            <w:rFonts w:cs="Arial"/>
            <w:bCs/>
            <w:sz w:val="16"/>
            <w:szCs w:val="16"/>
          </w:rPr>
          <w:t>1</w:t>
        </w:r>
        <w:r w:rsidR="002A7B03" w:rsidRPr="0057350D">
          <w:rPr>
            <w:rFonts w:cs="Arial"/>
            <w:bCs/>
            <w:sz w:val="16"/>
            <w:szCs w:val="16"/>
          </w:rPr>
          <w:fldChar w:fldCharType="end"/>
        </w:r>
        <w:r w:rsidR="002A7B03" w:rsidRPr="0057350D">
          <w:rPr>
            <w:rFonts w:cs="Arial"/>
            <w:sz w:val="16"/>
            <w:szCs w:val="16"/>
          </w:rPr>
          <w:t>/</w:t>
        </w:r>
        <w:r w:rsidR="002A7B03" w:rsidRPr="0057350D">
          <w:rPr>
            <w:rFonts w:cs="Arial"/>
            <w:bCs/>
            <w:sz w:val="16"/>
            <w:szCs w:val="16"/>
          </w:rPr>
          <w:fldChar w:fldCharType="begin"/>
        </w:r>
        <w:r w:rsidR="002A7B03" w:rsidRPr="0057350D">
          <w:rPr>
            <w:rFonts w:cs="Arial"/>
            <w:bCs/>
            <w:sz w:val="16"/>
            <w:szCs w:val="16"/>
          </w:rPr>
          <w:instrText xml:space="preserve"> NUMPAGES  </w:instrText>
        </w:r>
        <w:r w:rsidR="002A7B03" w:rsidRPr="0057350D">
          <w:rPr>
            <w:rFonts w:cs="Arial"/>
            <w:bCs/>
            <w:sz w:val="16"/>
            <w:szCs w:val="16"/>
          </w:rPr>
          <w:fldChar w:fldCharType="separate"/>
        </w:r>
        <w:r w:rsidR="002A7B03">
          <w:rPr>
            <w:rFonts w:cs="Arial"/>
            <w:bCs/>
            <w:sz w:val="16"/>
            <w:szCs w:val="16"/>
          </w:rPr>
          <w:t>2</w:t>
        </w:r>
        <w:r w:rsidR="002A7B03" w:rsidRPr="0057350D">
          <w:rPr>
            <w:rFonts w:cs="Arial"/>
            <w:bCs/>
            <w:sz w:val="16"/>
            <w:szCs w:val="16"/>
          </w:rPr>
          <w:fldChar w:fldCharType="end"/>
        </w:r>
      </w:sdtContent>
    </w:sdt>
    <w:r w:rsidR="00316532" w:rsidRPr="002A7B03">
      <w:rPr>
        <w:rFonts w:cs="Arial"/>
        <w:noProof/>
        <w:color w:val="355D6D"/>
        <w:lang w:eastAsia="en-GB"/>
      </w:rPr>
      <w:drawing>
        <wp:anchor distT="0" distB="0" distL="114300" distR="114300" simplePos="0" relativeHeight="251658245" behindDoc="0" locked="0" layoutInCell="1" allowOverlap="1" wp14:anchorId="64EE0696" wp14:editId="1A7F97D7">
          <wp:simplePos x="0" y="0"/>
          <wp:positionH relativeFrom="column">
            <wp:posOffset>7183120</wp:posOffset>
          </wp:positionH>
          <wp:positionV relativeFrom="paragraph">
            <wp:posOffset>-60960</wp:posOffset>
          </wp:positionV>
          <wp:extent cx="1497600" cy="532800"/>
          <wp:effectExtent l="0" t="0" r="7620" b="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card_BG_guide_2019-15.png"/>
                  <pic:cNvPicPr/>
                </pic:nvPicPr>
                <pic:blipFill>
                  <a:blip r:embed="rId1">
                    <a:extLst>
                      <a:ext uri="{28A0092B-C50C-407E-A947-70E740481C1C}">
                        <a14:useLocalDpi xmlns:a14="http://schemas.microsoft.com/office/drawing/2010/main" val="0"/>
                      </a:ext>
                    </a:extLst>
                  </a:blip>
                  <a:stretch>
                    <a:fillRect/>
                  </a:stretch>
                </pic:blipFill>
                <pic:spPr>
                  <a:xfrm>
                    <a:off x="0" y="0"/>
                    <a:ext cx="1497600" cy="53280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2D7FE" w14:textId="77777777" w:rsidR="002A7B03" w:rsidRDefault="002679E8" w:rsidP="00A102D4">
    <w:pPr>
      <w:pStyle w:val="Footer"/>
      <w:spacing w:after="260"/>
    </w:pPr>
    <w:r w:rsidRPr="002A7B03">
      <w:rPr>
        <w:rFonts w:cs="Arial"/>
        <w:noProof/>
        <w:color w:val="355D6D"/>
        <w:lang w:eastAsia="en-GB"/>
      </w:rPr>
      <w:drawing>
        <wp:anchor distT="0" distB="0" distL="114300" distR="114300" simplePos="0" relativeHeight="251658244" behindDoc="0" locked="0" layoutInCell="1" allowOverlap="1" wp14:anchorId="131A1975" wp14:editId="6B4F5BFE">
          <wp:simplePos x="0" y="0"/>
          <wp:positionH relativeFrom="column">
            <wp:posOffset>7183120</wp:posOffset>
          </wp:positionH>
          <wp:positionV relativeFrom="paragraph">
            <wp:posOffset>-60960</wp:posOffset>
          </wp:positionV>
          <wp:extent cx="1497600" cy="532800"/>
          <wp:effectExtent l="0" t="0" r="7620" b="0"/>
          <wp:wrapNone/>
          <wp:docPr id="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card_BG_guide_2019-15.png"/>
                  <pic:cNvPicPr/>
                </pic:nvPicPr>
                <pic:blipFill>
                  <a:blip r:embed="rId1">
                    <a:extLst>
                      <a:ext uri="{28A0092B-C50C-407E-A947-70E740481C1C}">
                        <a14:useLocalDpi xmlns:a14="http://schemas.microsoft.com/office/drawing/2010/main" val="0"/>
                      </a:ext>
                    </a:extLst>
                  </a:blip>
                  <a:stretch>
                    <a:fillRect/>
                  </a:stretch>
                </pic:blipFill>
                <pic:spPr>
                  <a:xfrm>
                    <a:off x="0" y="0"/>
                    <a:ext cx="1497600" cy="532800"/>
                  </a:xfrm>
                  <a:prstGeom prst="rect">
                    <a:avLst/>
                  </a:prstGeom>
                </pic:spPr>
              </pic:pic>
            </a:graphicData>
          </a:graphic>
          <wp14:sizeRelH relativeFrom="page">
            <wp14:pctWidth>0</wp14:pctWidth>
          </wp14:sizeRelH>
          <wp14:sizeRelV relativeFrom="page">
            <wp14:pctHeight>0</wp14:pctHeight>
          </wp14:sizeRelV>
        </wp:anchor>
      </w:drawing>
    </w:r>
    <w:sdt>
      <w:sdtPr>
        <w:rPr>
          <w:color w:val="355D6D"/>
        </w:rPr>
        <w:id w:val="-1847091499"/>
        <w:docPartObj>
          <w:docPartGallery w:val="Page Numbers (Top of Page)"/>
          <w:docPartUnique/>
        </w:docPartObj>
      </w:sdtPr>
      <w:sdtEndPr/>
      <w:sdtContent>
        <w:r w:rsidR="002A7B03" w:rsidRPr="002A7B03">
          <w:rPr>
            <w:rFonts w:cs="Arial"/>
            <w:noProof/>
            <w:color w:val="355D6D"/>
            <w:lang w:eastAsia="en-GB"/>
          </w:rPr>
          <w:drawing>
            <wp:anchor distT="0" distB="0" distL="114300" distR="114300" simplePos="0" relativeHeight="251658241" behindDoc="0" locked="0" layoutInCell="1" allowOverlap="1" wp14:anchorId="5E890BD8" wp14:editId="4A983EF3">
              <wp:simplePos x="0" y="0"/>
              <wp:positionH relativeFrom="column">
                <wp:posOffset>4800457</wp:posOffset>
              </wp:positionH>
              <wp:positionV relativeFrom="page">
                <wp:posOffset>9836150</wp:posOffset>
              </wp:positionV>
              <wp:extent cx="1497600" cy="532800"/>
              <wp:effectExtent l="0" t="0" r="7620" b="0"/>
              <wp:wrapNone/>
              <wp:docPr id="3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card_BG_guide_2019-15.png"/>
                      <pic:cNvPicPr/>
                    </pic:nvPicPr>
                    <pic:blipFill>
                      <a:blip r:embed="rId1">
                        <a:extLst>
                          <a:ext uri="{28A0092B-C50C-407E-A947-70E740481C1C}">
                            <a14:useLocalDpi xmlns:a14="http://schemas.microsoft.com/office/drawing/2010/main" val="0"/>
                          </a:ext>
                        </a:extLst>
                      </a:blip>
                      <a:stretch>
                        <a:fillRect/>
                      </a:stretch>
                    </pic:blipFill>
                    <pic:spPr>
                      <a:xfrm>
                        <a:off x="0" y="0"/>
                        <a:ext cx="1497600" cy="532800"/>
                      </a:xfrm>
                      <a:prstGeom prst="rect">
                        <a:avLst/>
                      </a:prstGeom>
                    </pic:spPr>
                  </pic:pic>
                </a:graphicData>
              </a:graphic>
              <wp14:sizeRelH relativeFrom="page">
                <wp14:pctWidth>0</wp14:pctWidth>
              </wp14:sizeRelH>
              <wp14:sizeRelV relativeFrom="page">
                <wp14:pctHeight>0</wp14:pctHeight>
              </wp14:sizeRelV>
            </wp:anchor>
          </w:drawing>
        </w:r>
        <w:r w:rsidR="002A7B03" w:rsidRPr="002A7B03">
          <w:rPr>
            <w:rFonts w:cs="Arial"/>
            <w:color w:val="355D6D"/>
            <w:sz w:val="16"/>
            <w:szCs w:val="16"/>
          </w:rPr>
          <w:t xml:space="preserve">Page </w:t>
        </w:r>
        <w:r w:rsidR="002A7B03" w:rsidRPr="002A7B03">
          <w:rPr>
            <w:rFonts w:cs="Arial"/>
            <w:bCs/>
            <w:color w:val="355D6D"/>
            <w:sz w:val="16"/>
            <w:szCs w:val="16"/>
          </w:rPr>
          <w:fldChar w:fldCharType="begin"/>
        </w:r>
        <w:r w:rsidR="002A7B03" w:rsidRPr="002A7B03">
          <w:rPr>
            <w:rFonts w:cs="Arial"/>
            <w:bCs/>
            <w:color w:val="355D6D"/>
            <w:sz w:val="16"/>
            <w:szCs w:val="16"/>
          </w:rPr>
          <w:instrText xml:space="preserve"> PAGE </w:instrText>
        </w:r>
        <w:r w:rsidR="002A7B03" w:rsidRPr="002A7B03">
          <w:rPr>
            <w:rFonts w:cs="Arial"/>
            <w:bCs/>
            <w:color w:val="355D6D"/>
            <w:sz w:val="16"/>
            <w:szCs w:val="16"/>
          </w:rPr>
          <w:fldChar w:fldCharType="separate"/>
        </w:r>
        <w:r w:rsidR="0081543C">
          <w:rPr>
            <w:rFonts w:cs="Arial"/>
            <w:bCs/>
            <w:noProof/>
            <w:color w:val="355D6D"/>
            <w:sz w:val="16"/>
            <w:szCs w:val="16"/>
          </w:rPr>
          <w:t>1</w:t>
        </w:r>
        <w:r w:rsidR="002A7B03" w:rsidRPr="002A7B03">
          <w:rPr>
            <w:rFonts w:cs="Arial"/>
            <w:bCs/>
            <w:color w:val="355D6D"/>
            <w:sz w:val="16"/>
            <w:szCs w:val="16"/>
          </w:rPr>
          <w:fldChar w:fldCharType="end"/>
        </w:r>
        <w:r w:rsidR="002A7B03" w:rsidRPr="002A7B03">
          <w:rPr>
            <w:rFonts w:cs="Arial"/>
            <w:color w:val="355D6D"/>
            <w:sz w:val="16"/>
            <w:szCs w:val="16"/>
          </w:rPr>
          <w:t>/</w:t>
        </w:r>
        <w:r w:rsidR="002A7B03" w:rsidRPr="002A7B03">
          <w:rPr>
            <w:rFonts w:cs="Arial"/>
            <w:bCs/>
            <w:color w:val="355D6D"/>
            <w:sz w:val="16"/>
            <w:szCs w:val="16"/>
          </w:rPr>
          <w:fldChar w:fldCharType="begin"/>
        </w:r>
        <w:r w:rsidR="002A7B03" w:rsidRPr="002A7B03">
          <w:rPr>
            <w:rFonts w:cs="Arial"/>
            <w:bCs/>
            <w:color w:val="355D6D"/>
            <w:sz w:val="16"/>
            <w:szCs w:val="16"/>
          </w:rPr>
          <w:instrText xml:space="preserve"> NUMPAGES  </w:instrText>
        </w:r>
        <w:r w:rsidR="002A7B03" w:rsidRPr="002A7B03">
          <w:rPr>
            <w:rFonts w:cs="Arial"/>
            <w:bCs/>
            <w:color w:val="355D6D"/>
            <w:sz w:val="16"/>
            <w:szCs w:val="16"/>
          </w:rPr>
          <w:fldChar w:fldCharType="separate"/>
        </w:r>
        <w:r w:rsidR="0081543C">
          <w:rPr>
            <w:rFonts w:cs="Arial"/>
            <w:bCs/>
            <w:noProof/>
            <w:color w:val="355D6D"/>
            <w:sz w:val="16"/>
            <w:szCs w:val="16"/>
          </w:rPr>
          <w:t>1</w:t>
        </w:r>
        <w:r w:rsidR="002A7B03" w:rsidRPr="002A7B03">
          <w:rPr>
            <w:rFonts w:cs="Arial"/>
            <w:bCs/>
            <w:color w:val="355D6D"/>
            <w:sz w:val="16"/>
            <w:szCs w:val="16"/>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65061" w14:textId="77777777" w:rsidR="00D6254F" w:rsidRDefault="00D6254F" w:rsidP="003A1DFC">
      <w:pPr>
        <w:spacing w:line="240" w:lineRule="auto"/>
      </w:pPr>
      <w:r>
        <w:separator/>
      </w:r>
    </w:p>
  </w:footnote>
  <w:footnote w:type="continuationSeparator" w:id="0">
    <w:p w14:paraId="29581693" w14:textId="77777777" w:rsidR="00D6254F" w:rsidRDefault="00D6254F" w:rsidP="003A1DFC">
      <w:pPr>
        <w:spacing w:line="240" w:lineRule="auto"/>
      </w:pPr>
      <w:r>
        <w:continuationSeparator/>
      </w:r>
    </w:p>
  </w:footnote>
  <w:footnote w:type="continuationNotice" w:id="1">
    <w:p w14:paraId="0B7E0B7C" w14:textId="77777777" w:rsidR="00D6254F" w:rsidRDefault="00D6254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433B1" w14:textId="77777777" w:rsidR="0021456D" w:rsidRDefault="0021456D" w:rsidP="0021456D">
    <w:pPr>
      <w:pStyle w:val="BodyText"/>
      <w:ind w:left="0"/>
    </w:pPr>
    <w:r>
      <w:t>ESA UNCLASSIFIED – Releasable to Public</w:t>
    </w:r>
  </w:p>
  <w:p w14:paraId="1DE570D5" w14:textId="76BB8FD5" w:rsidR="00B76631" w:rsidRPr="006F173C" w:rsidRDefault="00B76631" w:rsidP="00B76631">
    <w:pPr>
      <w:pStyle w:val="Header"/>
      <w:tabs>
        <w:tab w:val="left" w:pos="255"/>
      </w:tabs>
      <w:jc w:val="right"/>
      <w:rPr>
        <w:sz w:val="20"/>
        <w:szCs w:val="20"/>
        <w:lang w:val="it-IT"/>
      </w:rPr>
    </w:pPr>
    <w:proofErr w:type="spellStart"/>
    <w:r w:rsidRPr="006F173C">
      <w:rPr>
        <w:sz w:val="20"/>
        <w:szCs w:val="20"/>
        <w:lang w:val="it-IT"/>
      </w:rPr>
      <w:t>Appendix</w:t>
    </w:r>
    <w:proofErr w:type="spellEnd"/>
    <w:r w:rsidRPr="006F173C">
      <w:rPr>
        <w:sz w:val="20"/>
        <w:szCs w:val="20"/>
        <w:lang w:val="it-IT"/>
      </w:rPr>
      <w:t xml:space="preserve"> </w:t>
    </w:r>
    <w:r>
      <w:rPr>
        <w:sz w:val="20"/>
        <w:szCs w:val="20"/>
        <w:lang w:val="it-IT"/>
      </w:rPr>
      <w:t>5</w:t>
    </w:r>
    <w:r w:rsidRPr="006F173C">
      <w:rPr>
        <w:sz w:val="20"/>
        <w:szCs w:val="20"/>
        <w:lang w:val="it-IT"/>
      </w:rPr>
      <w:t xml:space="preserve"> to</w:t>
    </w:r>
  </w:p>
  <w:p w14:paraId="06266F01" w14:textId="77777777" w:rsidR="00B76631" w:rsidRPr="006F173C" w:rsidRDefault="00B76631" w:rsidP="00B76631">
    <w:pPr>
      <w:pStyle w:val="Header"/>
      <w:tabs>
        <w:tab w:val="left" w:pos="255"/>
      </w:tabs>
      <w:jc w:val="right"/>
      <w:rPr>
        <w:sz w:val="20"/>
        <w:szCs w:val="20"/>
        <w:lang w:val="it-IT"/>
      </w:rPr>
    </w:pPr>
    <w:r w:rsidRPr="006F173C">
      <w:rPr>
        <w:sz w:val="20"/>
        <w:szCs w:val="20"/>
        <w:lang w:val="it-IT"/>
      </w:rPr>
      <w:t xml:space="preserve">ESA </w:t>
    </w:r>
    <w:proofErr w:type="spellStart"/>
    <w:r w:rsidRPr="006F173C">
      <w:rPr>
        <w:sz w:val="20"/>
        <w:szCs w:val="20"/>
        <w:lang w:val="it-IT"/>
      </w:rPr>
      <w:t>CfP</w:t>
    </w:r>
    <w:proofErr w:type="spellEnd"/>
    <w:r w:rsidRPr="006F173C">
      <w:rPr>
        <w:sz w:val="20"/>
        <w:szCs w:val="20"/>
        <w:lang w:val="it-IT"/>
      </w:rPr>
      <w:t>/</w:t>
    </w:r>
    <w:r>
      <w:rPr>
        <w:sz w:val="20"/>
        <w:szCs w:val="20"/>
        <w:lang w:val="it-IT"/>
      </w:rPr>
      <w:t>5-50204</w:t>
    </w:r>
    <w:r w:rsidRPr="006F173C">
      <w:rPr>
        <w:sz w:val="20"/>
        <w:szCs w:val="20"/>
        <w:lang w:val="it-IT"/>
      </w:rPr>
      <w:t>/26/</w:t>
    </w:r>
    <w:r>
      <w:rPr>
        <w:sz w:val="20"/>
        <w:szCs w:val="20"/>
        <w:lang w:val="it-IT"/>
      </w:rPr>
      <w:t>LN</w:t>
    </w:r>
    <w:r w:rsidRPr="006F173C">
      <w:rPr>
        <w:sz w:val="20"/>
        <w:szCs w:val="20"/>
        <w:lang w:val="it-IT"/>
      </w:rPr>
      <w:t>/AL</w:t>
    </w:r>
    <w:r>
      <w:rPr>
        <w:sz w:val="20"/>
        <w:szCs w:val="20"/>
        <w:lang w:val="it-IT"/>
      </w:rPr>
      <w:t>/sc</w:t>
    </w:r>
  </w:p>
  <w:p w14:paraId="55223F5B" w14:textId="77777777" w:rsidR="00B76631" w:rsidRPr="00B76631" w:rsidRDefault="00B76631" w:rsidP="0021456D">
    <w:pPr>
      <w:pStyle w:val="BodyText"/>
      <w:ind w:left="0"/>
      <w:rPr>
        <w:lang w:val="it-IT"/>
      </w:rPr>
    </w:pPr>
  </w:p>
  <w:p w14:paraId="654E5889" w14:textId="37C9D1D9" w:rsidR="002A7B03" w:rsidRPr="002A7B03" w:rsidRDefault="006E5DBF" w:rsidP="006E5DBF">
    <w:pPr>
      <w:pStyle w:val="CoverRefText"/>
      <w:rPr>
        <w:lang w:val="en-US"/>
      </w:rPr>
    </w:pPr>
    <w:r w:rsidRPr="002A7B03">
      <w:rPr>
        <w:noProof/>
        <w:sz w:val="16"/>
        <w:szCs w:val="16"/>
        <w:lang w:eastAsia="en-GB"/>
      </w:rPr>
      <w:drawing>
        <wp:anchor distT="0" distB="0" distL="114300" distR="114300" simplePos="0" relativeHeight="251658243" behindDoc="0" locked="0" layoutInCell="1" allowOverlap="1" wp14:anchorId="45E165F3" wp14:editId="7311017A">
          <wp:simplePos x="0" y="0"/>
          <wp:positionH relativeFrom="column">
            <wp:posOffset>4803140</wp:posOffset>
          </wp:positionH>
          <wp:positionV relativeFrom="paragraph">
            <wp:posOffset>-3810</wp:posOffset>
          </wp:positionV>
          <wp:extent cx="1497600" cy="532800"/>
          <wp:effectExtent l="0" t="0" r="7620" b="635"/>
          <wp:wrapThrough wrapText="bothSides">
            <wp:wrapPolygon edited="0">
              <wp:start x="1924" y="0"/>
              <wp:lineTo x="0" y="3862"/>
              <wp:lineTo x="0" y="16992"/>
              <wp:lineTo x="1924" y="20853"/>
              <wp:lineTo x="5771" y="20853"/>
              <wp:lineTo x="21435" y="17764"/>
              <wp:lineTo x="21435" y="3862"/>
              <wp:lineTo x="5771" y="0"/>
              <wp:lineTo x="1924" y="0"/>
            </wp:wrapPolygon>
          </wp:wrapThrough>
          <wp:docPr id="3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Solid_templates-11.png"/>
                  <pic:cNvPicPr/>
                </pic:nvPicPr>
                <pic:blipFill>
                  <a:blip r:embed="rId1">
                    <a:extLst>
                      <a:ext uri="{28A0092B-C50C-407E-A947-70E740481C1C}">
                        <a14:useLocalDpi xmlns:a14="http://schemas.microsoft.com/office/drawing/2010/main" val="0"/>
                      </a:ext>
                    </a:extLst>
                  </a:blip>
                  <a:stretch>
                    <a:fillRect/>
                  </a:stretch>
                </pic:blipFill>
                <pic:spPr>
                  <a:xfrm>
                    <a:off x="0" y="0"/>
                    <a:ext cx="1497600" cy="5328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3376E" w14:textId="77777777" w:rsidR="00B76631" w:rsidRDefault="003568FF" w:rsidP="00B76631">
    <w:pPr>
      <w:pStyle w:val="Header"/>
      <w:tabs>
        <w:tab w:val="left" w:pos="255"/>
      </w:tabs>
      <w:rPr>
        <w:sz w:val="20"/>
        <w:szCs w:val="20"/>
      </w:rPr>
    </w:pPr>
    <w:r>
      <w:t>ESA UNCLASSIFIED – Releasable to Public</w:t>
    </w:r>
    <w:r w:rsidR="00B76631" w:rsidRPr="00B76631">
      <w:rPr>
        <w:sz w:val="20"/>
        <w:szCs w:val="20"/>
      </w:rPr>
      <w:t xml:space="preserve"> </w:t>
    </w:r>
  </w:p>
  <w:p w14:paraId="6843FA63" w14:textId="45E3D34F" w:rsidR="00B76631" w:rsidRPr="00B76631" w:rsidRDefault="00B76631" w:rsidP="00B76631">
    <w:pPr>
      <w:pStyle w:val="Header"/>
      <w:tabs>
        <w:tab w:val="left" w:pos="255"/>
      </w:tabs>
      <w:jc w:val="right"/>
      <w:rPr>
        <w:sz w:val="20"/>
        <w:szCs w:val="20"/>
        <w:lang w:val="it-IT"/>
      </w:rPr>
    </w:pPr>
    <w:proofErr w:type="spellStart"/>
    <w:r w:rsidRPr="00B76631">
      <w:rPr>
        <w:sz w:val="20"/>
        <w:szCs w:val="20"/>
        <w:lang w:val="it-IT"/>
      </w:rPr>
      <w:t>Appendix</w:t>
    </w:r>
    <w:proofErr w:type="spellEnd"/>
    <w:r w:rsidRPr="00B76631">
      <w:rPr>
        <w:sz w:val="20"/>
        <w:szCs w:val="20"/>
        <w:lang w:val="it-IT"/>
      </w:rPr>
      <w:t xml:space="preserve"> </w:t>
    </w:r>
    <w:r w:rsidRPr="00B76631">
      <w:rPr>
        <w:sz w:val="20"/>
        <w:szCs w:val="20"/>
        <w:lang w:val="it-IT"/>
      </w:rPr>
      <w:t>5</w:t>
    </w:r>
    <w:r w:rsidRPr="00B76631">
      <w:rPr>
        <w:sz w:val="20"/>
        <w:szCs w:val="20"/>
        <w:lang w:val="it-IT"/>
      </w:rPr>
      <w:t xml:space="preserve"> to</w:t>
    </w:r>
  </w:p>
  <w:p w14:paraId="12E9A59F" w14:textId="77777777" w:rsidR="00B76631" w:rsidRPr="006F173C" w:rsidRDefault="00B76631" w:rsidP="00B76631">
    <w:pPr>
      <w:pStyle w:val="Header"/>
      <w:tabs>
        <w:tab w:val="left" w:pos="255"/>
      </w:tabs>
      <w:jc w:val="right"/>
      <w:rPr>
        <w:sz w:val="20"/>
        <w:szCs w:val="20"/>
        <w:lang w:val="it-IT"/>
      </w:rPr>
    </w:pPr>
    <w:r w:rsidRPr="006F173C">
      <w:rPr>
        <w:sz w:val="20"/>
        <w:szCs w:val="20"/>
        <w:lang w:val="it-IT"/>
      </w:rPr>
      <w:t xml:space="preserve">ESA </w:t>
    </w:r>
    <w:proofErr w:type="spellStart"/>
    <w:r w:rsidRPr="006F173C">
      <w:rPr>
        <w:sz w:val="20"/>
        <w:szCs w:val="20"/>
        <w:lang w:val="it-IT"/>
      </w:rPr>
      <w:t>CfP</w:t>
    </w:r>
    <w:proofErr w:type="spellEnd"/>
    <w:r w:rsidRPr="006F173C">
      <w:rPr>
        <w:sz w:val="20"/>
        <w:szCs w:val="20"/>
        <w:lang w:val="it-IT"/>
      </w:rPr>
      <w:t>/</w:t>
    </w:r>
    <w:r>
      <w:rPr>
        <w:sz w:val="20"/>
        <w:szCs w:val="20"/>
        <w:lang w:val="it-IT"/>
      </w:rPr>
      <w:t>5-50204</w:t>
    </w:r>
    <w:r w:rsidRPr="006F173C">
      <w:rPr>
        <w:sz w:val="20"/>
        <w:szCs w:val="20"/>
        <w:lang w:val="it-IT"/>
      </w:rPr>
      <w:t>/26/</w:t>
    </w:r>
    <w:r>
      <w:rPr>
        <w:sz w:val="20"/>
        <w:szCs w:val="20"/>
        <w:lang w:val="it-IT"/>
      </w:rPr>
      <w:t>LN</w:t>
    </w:r>
    <w:r w:rsidRPr="006F173C">
      <w:rPr>
        <w:sz w:val="20"/>
        <w:szCs w:val="20"/>
        <w:lang w:val="it-IT"/>
      </w:rPr>
      <w:t>/AL</w:t>
    </w:r>
    <w:r>
      <w:rPr>
        <w:sz w:val="20"/>
        <w:szCs w:val="20"/>
        <w:lang w:val="it-IT"/>
      </w:rPr>
      <w:t>/sc</w:t>
    </w:r>
  </w:p>
  <w:p w14:paraId="0306B290" w14:textId="28838FB1" w:rsidR="003568FF" w:rsidRPr="00B76631" w:rsidRDefault="003568FF" w:rsidP="003568FF">
    <w:pPr>
      <w:pStyle w:val="BodyText"/>
      <w:ind w:left="0"/>
      <w:rPr>
        <w:lang w:val="it-IT"/>
      </w:rPr>
    </w:pPr>
  </w:p>
  <w:p w14:paraId="49895071" w14:textId="62FCA16E" w:rsidR="00890F2E" w:rsidRPr="00B76631" w:rsidRDefault="00D6254F" w:rsidP="00227800">
    <w:pPr>
      <w:pStyle w:val="CoverRefText"/>
      <w:rPr>
        <w:sz w:val="16"/>
        <w:szCs w:val="16"/>
        <w:lang w:val="it-IT"/>
      </w:rPr>
    </w:pPr>
    <w:sdt>
      <w:sdtPr>
        <w:rPr>
          <w:noProof/>
          <w:sz w:val="16"/>
          <w:szCs w:val="16"/>
        </w:rPr>
        <w:alias w:val="sep"/>
        <w:tag w:val="sep"/>
        <w:id w:val="-1110812583"/>
      </w:sdtPr>
      <w:sdtEndPr/>
      <w:sdtContent>
        <w:r w:rsidR="006F53B2" w:rsidRPr="00B76631">
          <w:rPr>
            <w:noProof/>
            <w:sz w:val="16"/>
            <w:szCs w:val="16"/>
            <w:lang w:val="it-IT"/>
          </w:rPr>
          <w:t xml:space="preserve"> </w:t>
        </w:r>
      </w:sdtContent>
    </w:sdt>
    <w:r w:rsidR="007367B2" w:rsidRPr="00B76631">
      <w:rPr>
        <w:noProof/>
        <w:sz w:val="16"/>
        <w:szCs w:val="16"/>
        <w:lang w:val="it-IT"/>
      </w:rPr>
      <w:t xml:space="preserve"> </w:t>
    </w:r>
    <w:sdt>
      <w:sdtPr>
        <w:rPr>
          <w:noProof/>
          <w:sz w:val="16"/>
          <w:szCs w:val="16"/>
          <w:lang w:val="it-IT"/>
        </w:rPr>
        <w:alias w:val="Classification Caveat"/>
        <w:tag w:val="Classification_x0020_Caveat"/>
        <w:id w:val="-1433283845"/>
        <w:dataBinding w:prefixMappings="xmlns:ns0='http://schemas.microsoft.com/office/2006/metadata/properties' xmlns:ns1='http://www.w3.org/2001/XMLSchema-instance' xmlns:ns2='http://schemas.microsoft.com/office/infopath/2007/PartnerControls' xmlns:ns3='ddc99d1b-0883-4f2c-a8e6-6d8ebaa0e5d6' xmlns:ns4='http://schemas.microsoft.com/sharepoint/v3/fields' xmlns:ns5='http://schemas.microsoft.com/sharepoint/v4' " w:xpath="/ns0:properties[1]/documentManagement[1]/ns3:Classification_x0020_Caveat[1]" w:storeItemID="{0054B329-7DB5-4DB6-9793-B2A004C8299B}"/>
        <w:text/>
      </w:sdtPr>
      <w:sdtEndPr/>
      <w:sdtContent>
        <w:r w:rsidR="000F63A9" w:rsidRPr="00B76631">
          <w:rPr>
            <w:noProof/>
            <w:sz w:val="16"/>
            <w:szCs w:val="16"/>
            <w:lang w:val="it-IT"/>
          </w:rPr>
          <w:t>​</w:t>
        </w:r>
      </w:sdtContent>
    </w:sdt>
    <w:r w:rsidR="009915A0" w:rsidRPr="002A7B03">
      <w:rPr>
        <w:noProof/>
        <w:sz w:val="16"/>
        <w:szCs w:val="16"/>
        <w:lang w:eastAsia="en-GB"/>
      </w:rPr>
      <w:drawing>
        <wp:anchor distT="0" distB="0" distL="114300" distR="114300" simplePos="0" relativeHeight="251658240" behindDoc="0" locked="0" layoutInCell="1" allowOverlap="1" wp14:anchorId="2BF0C370" wp14:editId="4E86593B">
          <wp:simplePos x="0" y="0"/>
          <wp:positionH relativeFrom="column">
            <wp:posOffset>4803140</wp:posOffset>
          </wp:positionH>
          <wp:positionV relativeFrom="paragraph">
            <wp:posOffset>-3810</wp:posOffset>
          </wp:positionV>
          <wp:extent cx="1497600" cy="532800"/>
          <wp:effectExtent l="0" t="0" r="7620" b="635"/>
          <wp:wrapThrough wrapText="bothSides">
            <wp:wrapPolygon edited="0">
              <wp:start x="1924" y="0"/>
              <wp:lineTo x="0" y="3862"/>
              <wp:lineTo x="0" y="16992"/>
              <wp:lineTo x="1924" y="20853"/>
              <wp:lineTo x="5771" y="20853"/>
              <wp:lineTo x="21435" y="17764"/>
              <wp:lineTo x="21435" y="3862"/>
              <wp:lineTo x="5771" y="0"/>
              <wp:lineTo x="1924" y="0"/>
            </wp:wrapPolygon>
          </wp:wrapThrough>
          <wp:docPr id="3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Solid_templates-11.png"/>
                  <pic:cNvPicPr/>
                </pic:nvPicPr>
                <pic:blipFill>
                  <a:blip r:embed="rId1">
                    <a:extLst>
                      <a:ext uri="{28A0092B-C50C-407E-A947-70E740481C1C}">
                        <a14:useLocalDpi xmlns:a14="http://schemas.microsoft.com/office/drawing/2010/main" val="0"/>
                      </a:ext>
                    </a:extLst>
                  </a:blip>
                  <a:stretch>
                    <a:fillRect/>
                  </a:stretch>
                </pic:blipFill>
                <pic:spPr>
                  <a:xfrm>
                    <a:off x="0" y="0"/>
                    <a:ext cx="1497600" cy="5328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A6403"/>
    <w:multiLevelType w:val="multilevel"/>
    <w:tmpl w:val="18FAB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81DEB"/>
    <w:multiLevelType w:val="multilevel"/>
    <w:tmpl w:val="FD229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C426DD"/>
    <w:multiLevelType w:val="multilevel"/>
    <w:tmpl w:val="37C4C1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FB3B36"/>
    <w:multiLevelType w:val="multilevel"/>
    <w:tmpl w:val="687CB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2260DE"/>
    <w:multiLevelType w:val="hybridMultilevel"/>
    <w:tmpl w:val="F26A8048"/>
    <w:lvl w:ilvl="0" w:tplc="E41CB56E">
      <w:start w:val="1"/>
      <w:numFmt w:val="decimal"/>
      <w:pStyle w:val="Title2level"/>
      <w:lvlText w:val="%1"/>
      <w:lvlJc w:val="left"/>
      <w:pPr>
        <w:ind w:left="360" w:hanging="360"/>
      </w:pPr>
      <w:rPr>
        <w:rFonts w:ascii="Arial" w:hAnsi="Arial" w:hint="default"/>
        <w:sz w:val="28"/>
      </w:rPr>
    </w:lvl>
    <w:lvl w:ilvl="1" w:tplc="08090019" w:tentative="1">
      <w:start w:val="1"/>
      <w:numFmt w:val="lowerLetter"/>
      <w:lvlText w:val="%2."/>
      <w:lvlJc w:val="left"/>
      <w:pPr>
        <w:ind w:left="4680" w:hanging="360"/>
      </w:pPr>
    </w:lvl>
    <w:lvl w:ilvl="2" w:tplc="0809001B" w:tentative="1">
      <w:start w:val="1"/>
      <w:numFmt w:val="lowerRoman"/>
      <w:lvlText w:val="%3."/>
      <w:lvlJc w:val="right"/>
      <w:pPr>
        <w:ind w:left="5400" w:hanging="180"/>
      </w:pPr>
    </w:lvl>
    <w:lvl w:ilvl="3" w:tplc="0809000F" w:tentative="1">
      <w:start w:val="1"/>
      <w:numFmt w:val="decimal"/>
      <w:lvlText w:val="%4."/>
      <w:lvlJc w:val="left"/>
      <w:pPr>
        <w:ind w:left="6120" w:hanging="360"/>
      </w:pPr>
    </w:lvl>
    <w:lvl w:ilvl="4" w:tplc="08090019" w:tentative="1">
      <w:start w:val="1"/>
      <w:numFmt w:val="lowerLetter"/>
      <w:lvlText w:val="%5."/>
      <w:lvlJc w:val="left"/>
      <w:pPr>
        <w:ind w:left="6840" w:hanging="360"/>
      </w:pPr>
    </w:lvl>
    <w:lvl w:ilvl="5" w:tplc="0809001B" w:tentative="1">
      <w:start w:val="1"/>
      <w:numFmt w:val="lowerRoman"/>
      <w:lvlText w:val="%6."/>
      <w:lvlJc w:val="right"/>
      <w:pPr>
        <w:ind w:left="7560" w:hanging="180"/>
      </w:pPr>
    </w:lvl>
    <w:lvl w:ilvl="6" w:tplc="0809000F" w:tentative="1">
      <w:start w:val="1"/>
      <w:numFmt w:val="decimal"/>
      <w:lvlText w:val="%7."/>
      <w:lvlJc w:val="left"/>
      <w:pPr>
        <w:ind w:left="8280" w:hanging="360"/>
      </w:pPr>
    </w:lvl>
    <w:lvl w:ilvl="7" w:tplc="08090019" w:tentative="1">
      <w:start w:val="1"/>
      <w:numFmt w:val="lowerLetter"/>
      <w:lvlText w:val="%8."/>
      <w:lvlJc w:val="left"/>
      <w:pPr>
        <w:ind w:left="9000" w:hanging="360"/>
      </w:pPr>
    </w:lvl>
    <w:lvl w:ilvl="8" w:tplc="0809001B" w:tentative="1">
      <w:start w:val="1"/>
      <w:numFmt w:val="lowerRoman"/>
      <w:lvlText w:val="%9."/>
      <w:lvlJc w:val="right"/>
      <w:pPr>
        <w:ind w:left="9720" w:hanging="180"/>
      </w:pPr>
    </w:lvl>
  </w:abstractNum>
  <w:abstractNum w:abstractNumId="5" w15:restartNumberingAfterBreak="0">
    <w:nsid w:val="13F95B3A"/>
    <w:multiLevelType w:val="multilevel"/>
    <w:tmpl w:val="35F2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0D5BE4"/>
    <w:multiLevelType w:val="multilevel"/>
    <w:tmpl w:val="11F8C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4E03A7"/>
    <w:multiLevelType w:val="multilevel"/>
    <w:tmpl w:val="B5506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90254A"/>
    <w:multiLevelType w:val="multilevel"/>
    <w:tmpl w:val="706C4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C33576"/>
    <w:multiLevelType w:val="multilevel"/>
    <w:tmpl w:val="67EA1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0A87A43"/>
    <w:multiLevelType w:val="multilevel"/>
    <w:tmpl w:val="5F6E8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C54E6B"/>
    <w:multiLevelType w:val="multilevel"/>
    <w:tmpl w:val="6B589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B279F3"/>
    <w:multiLevelType w:val="multilevel"/>
    <w:tmpl w:val="73424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7C442B1"/>
    <w:multiLevelType w:val="multilevel"/>
    <w:tmpl w:val="9934D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CFB4A95"/>
    <w:multiLevelType w:val="multilevel"/>
    <w:tmpl w:val="10200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D4F5E3B"/>
    <w:multiLevelType w:val="multilevel"/>
    <w:tmpl w:val="71346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0725373"/>
    <w:multiLevelType w:val="multilevel"/>
    <w:tmpl w:val="370C3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6C3C13"/>
    <w:multiLevelType w:val="multilevel"/>
    <w:tmpl w:val="E9B46596"/>
    <w:lvl w:ilvl="0">
      <w:start w:val="1"/>
      <w:numFmt w:val="decimal"/>
      <w:lvlText w:val="%1"/>
      <w:lvlJc w:val="left"/>
      <w:pPr>
        <w:tabs>
          <w:tab w:val="num" w:pos="907"/>
        </w:tabs>
        <w:ind w:left="907" w:hanging="907"/>
      </w:pPr>
    </w:lvl>
    <w:lvl w:ilvl="1">
      <w:start w:val="1"/>
      <w:numFmt w:val="decimal"/>
      <w:lvlText w:val="%1.%2"/>
      <w:lvlJc w:val="left"/>
      <w:pPr>
        <w:tabs>
          <w:tab w:val="num" w:pos="907"/>
        </w:tabs>
        <w:ind w:left="907" w:hanging="907"/>
      </w:pPr>
    </w:lvl>
    <w:lvl w:ilvl="2">
      <w:start w:val="1"/>
      <w:numFmt w:val="decimal"/>
      <w:lvlText w:val="%1.%2.%3"/>
      <w:lvlJc w:val="left"/>
      <w:pPr>
        <w:tabs>
          <w:tab w:val="num" w:pos="907"/>
        </w:tabs>
        <w:ind w:left="907" w:hanging="907"/>
      </w:pPr>
    </w:lvl>
    <w:lvl w:ilvl="3">
      <w:start w:val="1"/>
      <w:numFmt w:val="decimal"/>
      <w:pStyle w:val="Heading4"/>
      <w:lvlText w:val="%1.%2.%3.%4"/>
      <w:lvlJc w:val="left"/>
      <w:pPr>
        <w:tabs>
          <w:tab w:val="num" w:pos="907"/>
        </w:tabs>
        <w:ind w:left="907" w:hanging="907"/>
      </w:pPr>
    </w:lvl>
    <w:lvl w:ilvl="4">
      <w:start w:val="1"/>
      <w:numFmt w:val="decimal"/>
      <w:pStyle w:val="Heading5"/>
      <w:lvlText w:val="%1.%2.%3.%4.%5"/>
      <w:lvlJc w:val="left"/>
      <w:pPr>
        <w:tabs>
          <w:tab w:val="num" w:pos="1440"/>
        </w:tabs>
        <w:ind w:left="907" w:hanging="907"/>
      </w:pPr>
    </w:lvl>
    <w:lvl w:ilvl="5">
      <w:start w:val="1"/>
      <w:numFmt w:val="decimal"/>
      <w:lvlText w:val="%1.%2.%3.%4.%5.%6"/>
      <w:lvlJc w:val="left"/>
      <w:pPr>
        <w:tabs>
          <w:tab w:val="num" w:pos="1440"/>
        </w:tabs>
        <w:ind w:left="907" w:hanging="907"/>
      </w:pPr>
    </w:lvl>
    <w:lvl w:ilvl="6">
      <w:start w:val="1"/>
      <w:numFmt w:val="decimal"/>
      <w:pStyle w:val="Heading7"/>
      <w:lvlText w:val="%1.%2.%3.%4.%5.%6.%7"/>
      <w:lvlJc w:val="left"/>
      <w:pPr>
        <w:tabs>
          <w:tab w:val="num" w:pos="1800"/>
        </w:tabs>
        <w:ind w:left="907" w:hanging="907"/>
      </w:pPr>
    </w:lvl>
    <w:lvl w:ilvl="7">
      <w:start w:val="1"/>
      <w:numFmt w:val="decimal"/>
      <w:pStyle w:val="Heading8"/>
      <w:lvlText w:val="%1.%2.%3.%4.%5.%6.%7.%8"/>
      <w:lvlJc w:val="left"/>
      <w:pPr>
        <w:tabs>
          <w:tab w:val="num" w:pos="2160"/>
        </w:tabs>
        <w:ind w:left="907" w:hanging="907"/>
      </w:pPr>
    </w:lvl>
    <w:lvl w:ilvl="8">
      <w:start w:val="1"/>
      <w:numFmt w:val="upperLetter"/>
      <w:lvlText w:val="Appendix %9"/>
      <w:lvlJc w:val="left"/>
      <w:pPr>
        <w:tabs>
          <w:tab w:val="num" w:pos="3067"/>
        </w:tabs>
        <w:ind w:left="2268" w:hanging="1361"/>
      </w:pPr>
    </w:lvl>
  </w:abstractNum>
  <w:abstractNum w:abstractNumId="18" w15:restartNumberingAfterBreak="0">
    <w:nsid w:val="32A22F5D"/>
    <w:multiLevelType w:val="multilevel"/>
    <w:tmpl w:val="9A2AA65E"/>
    <w:lvl w:ilvl="0">
      <w:start w:val="1"/>
      <w:numFmt w:val="decimal"/>
      <w:pStyle w:val="Heading01"/>
      <w:suff w:val="space"/>
      <w:lvlText w:val="%1."/>
      <w:lvlJc w:val="left"/>
      <w:pPr>
        <w:ind w:left="907" w:hanging="907"/>
      </w:pPr>
      <w:rPr>
        <w:rFonts w:hint="default"/>
      </w:rPr>
    </w:lvl>
    <w:lvl w:ilvl="1">
      <w:start w:val="1"/>
      <w:numFmt w:val="decimal"/>
      <w:pStyle w:val="Heading02"/>
      <w:suff w:val="space"/>
      <w:lvlText w:val="%1.%2."/>
      <w:lvlJc w:val="left"/>
      <w:pPr>
        <w:ind w:left="907" w:hanging="907"/>
      </w:pPr>
      <w:rPr>
        <w:rFonts w:hint="default"/>
      </w:rPr>
    </w:lvl>
    <w:lvl w:ilvl="2">
      <w:start w:val="1"/>
      <w:numFmt w:val="decimal"/>
      <w:pStyle w:val="Heading03"/>
      <w:suff w:val="space"/>
      <w:lvlText w:val="%1.%2.%3."/>
      <w:lvlJc w:val="left"/>
      <w:pPr>
        <w:ind w:left="907" w:hanging="907"/>
      </w:pPr>
      <w:rPr>
        <w:rFonts w:hint="default"/>
      </w:rPr>
    </w:lvl>
    <w:lvl w:ilvl="3">
      <w:start w:val="1"/>
      <w:numFmt w:val="decimal"/>
      <w:pStyle w:val="Heading04"/>
      <w:suff w:val="space"/>
      <w:lvlText w:val="%1.%2.%3.%4."/>
      <w:lvlJc w:val="left"/>
      <w:pPr>
        <w:ind w:left="907" w:hanging="907"/>
      </w:pPr>
      <w:rPr>
        <w:rFonts w:hint="default"/>
      </w:rPr>
    </w:lvl>
    <w:lvl w:ilvl="4">
      <w:start w:val="1"/>
      <w:numFmt w:val="decimal"/>
      <w:pStyle w:val="Heading05"/>
      <w:suff w:val="space"/>
      <w:lvlText w:val="%1.%2.%3.%4.%5."/>
      <w:lvlJc w:val="left"/>
      <w:pPr>
        <w:ind w:left="907" w:hanging="907"/>
      </w:pPr>
      <w:rPr>
        <w:rFonts w:hint="default"/>
      </w:rPr>
    </w:lvl>
    <w:lvl w:ilvl="5">
      <w:start w:val="1"/>
      <w:numFmt w:val="decimal"/>
      <w:lvlText w:val="%1.%2.%3.%4.%5.%6."/>
      <w:lvlJc w:val="left"/>
      <w:pPr>
        <w:ind w:left="907" w:hanging="907"/>
      </w:pPr>
      <w:rPr>
        <w:rFonts w:hint="default"/>
      </w:rPr>
    </w:lvl>
    <w:lvl w:ilvl="6">
      <w:start w:val="1"/>
      <w:numFmt w:val="decimal"/>
      <w:lvlText w:val="%1.%2.%3.%4.%5.%6.%7."/>
      <w:lvlJc w:val="left"/>
      <w:pPr>
        <w:ind w:left="907" w:hanging="907"/>
      </w:pPr>
      <w:rPr>
        <w:rFonts w:hint="default"/>
      </w:rPr>
    </w:lvl>
    <w:lvl w:ilvl="7">
      <w:start w:val="1"/>
      <w:numFmt w:val="decimal"/>
      <w:lvlText w:val="%1.%2.%3.%4.%5.%6.%7.%8."/>
      <w:lvlJc w:val="left"/>
      <w:pPr>
        <w:ind w:left="907" w:hanging="907"/>
      </w:pPr>
      <w:rPr>
        <w:rFonts w:hint="default"/>
      </w:rPr>
    </w:lvl>
    <w:lvl w:ilvl="8">
      <w:start w:val="1"/>
      <w:numFmt w:val="decimal"/>
      <w:lvlText w:val="%1.%2.%3.%4.%5.%6.%7.%8.%9."/>
      <w:lvlJc w:val="left"/>
      <w:pPr>
        <w:ind w:left="907" w:hanging="907"/>
      </w:pPr>
      <w:rPr>
        <w:rFonts w:hint="default"/>
      </w:rPr>
    </w:lvl>
  </w:abstractNum>
  <w:abstractNum w:abstractNumId="19" w15:restartNumberingAfterBreak="0">
    <w:nsid w:val="344A2B56"/>
    <w:multiLevelType w:val="multilevel"/>
    <w:tmpl w:val="5C34C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7601AEA"/>
    <w:multiLevelType w:val="multilevel"/>
    <w:tmpl w:val="8E306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BF20D5"/>
    <w:multiLevelType w:val="multilevel"/>
    <w:tmpl w:val="AABA0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FF44343"/>
    <w:multiLevelType w:val="multilevel"/>
    <w:tmpl w:val="4978E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2D2C50"/>
    <w:multiLevelType w:val="multilevel"/>
    <w:tmpl w:val="721E4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51E6431"/>
    <w:multiLevelType w:val="multilevel"/>
    <w:tmpl w:val="1158CF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60168EA"/>
    <w:multiLevelType w:val="multilevel"/>
    <w:tmpl w:val="5630C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937A0A"/>
    <w:multiLevelType w:val="hybridMultilevel"/>
    <w:tmpl w:val="2C58851A"/>
    <w:lvl w:ilvl="0" w:tplc="55ECB1C0">
      <w:start w:val="1"/>
      <w:numFmt w:val="decimal"/>
      <w:pStyle w:val="Heading1"/>
      <w:lvlText w:val="%1."/>
      <w:lvlJc w:val="left"/>
      <w:pPr>
        <w:ind w:left="360" w:hanging="360"/>
      </w:pPr>
      <w:rPr>
        <w:rFonts w:ascii="Arial" w:hAnsi="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C3A01AB"/>
    <w:multiLevelType w:val="hybridMultilevel"/>
    <w:tmpl w:val="E1C854C2"/>
    <w:lvl w:ilvl="0" w:tplc="2EC213DE">
      <w:start w:val="1"/>
      <w:numFmt w:val="decimal"/>
      <w:pStyle w:val="Title1"/>
      <w:lvlText w:val="%1"/>
      <w:lvlJc w:val="left"/>
      <w:pPr>
        <w:ind w:left="1080" w:hanging="360"/>
      </w:pPr>
      <w:rPr>
        <w:rFonts w:ascii="Arial" w:hAnsi="Arial" w:hint="default"/>
        <w:sz w:val="32"/>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4D947112"/>
    <w:multiLevelType w:val="multilevel"/>
    <w:tmpl w:val="1638B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F343429"/>
    <w:multiLevelType w:val="multilevel"/>
    <w:tmpl w:val="76A06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FB110E0"/>
    <w:multiLevelType w:val="multilevel"/>
    <w:tmpl w:val="1B3AD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0C262AA"/>
    <w:multiLevelType w:val="multilevel"/>
    <w:tmpl w:val="E3E2D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34F43E3"/>
    <w:multiLevelType w:val="multilevel"/>
    <w:tmpl w:val="3B72F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5A3230C"/>
    <w:multiLevelType w:val="multilevel"/>
    <w:tmpl w:val="91421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A0E17E3"/>
    <w:multiLevelType w:val="multilevel"/>
    <w:tmpl w:val="1C6E1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0A90560"/>
    <w:multiLevelType w:val="multilevel"/>
    <w:tmpl w:val="A9886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4334AD7"/>
    <w:multiLevelType w:val="hybridMultilevel"/>
    <w:tmpl w:val="B8CC0702"/>
    <w:lvl w:ilvl="0" w:tplc="4C5CF634">
      <w:start w:val="1"/>
      <w:numFmt w:val="decimal"/>
      <w:pStyle w:val="Title3level"/>
      <w:lvlText w:val="%1"/>
      <w:lvlJc w:val="left"/>
      <w:pPr>
        <w:ind w:left="1800" w:hanging="360"/>
      </w:pPr>
      <w:rPr>
        <w:rFonts w:ascii="Arial" w:hAnsi="Arial" w:hint="default"/>
        <w:sz w:val="28"/>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7" w15:restartNumberingAfterBreak="0">
    <w:nsid w:val="65ED7F72"/>
    <w:multiLevelType w:val="multilevel"/>
    <w:tmpl w:val="11D0B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90B18DD"/>
    <w:multiLevelType w:val="multilevel"/>
    <w:tmpl w:val="3780B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94C509F"/>
    <w:multiLevelType w:val="multilevel"/>
    <w:tmpl w:val="6346E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CD27136"/>
    <w:multiLevelType w:val="multilevel"/>
    <w:tmpl w:val="07848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D4D6989"/>
    <w:multiLevelType w:val="multilevel"/>
    <w:tmpl w:val="EF04F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D7621B3"/>
    <w:multiLevelType w:val="multilevel"/>
    <w:tmpl w:val="27AA2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1C86328"/>
    <w:multiLevelType w:val="multilevel"/>
    <w:tmpl w:val="A2AC0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81C248D"/>
    <w:multiLevelType w:val="multilevel"/>
    <w:tmpl w:val="C13C8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AFC6B3C"/>
    <w:multiLevelType w:val="multilevel"/>
    <w:tmpl w:val="756AF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B9270ED"/>
    <w:multiLevelType w:val="multilevel"/>
    <w:tmpl w:val="FE581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58514825">
    <w:abstractNumId w:val="17"/>
  </w:num>
  <w:num w:numId="2" w16cid:durableId="958873589">
    <w:abstractNumId w:val="26"/>
  </w:num>
  <w:num w:numId="3" w16cid:durableId="698237500">
    <w:abstractNumId w:val="18"/>
  </w:num>
  <w:num w:numId="4" w16cid:durableId="362099155">
    <w:abstractNumId w:val="27"/>
  </w:num>
  <w:num w:numId="5" w16cid:durableId="2118482978">
    <w:abstractNumId w:val="4"/>
  </w:num>
  <w:num w:numId="6" w16cid:durableId="321080147">
    <w:abstractNumId w:val="36"/>
  </w:num>
  <w:num w:numId="7" w16cid:durableId="1136685226">
    <w:abstractNumId w:val="8"/>
  </w:num>
  <w:num w:numId="8" w16cid:durableId="1224752929">
    <w:abstractNumId w:val="2"/>
  </w:num>
  <w:num w:numId="9" w16cid:durableId="1332641395">
    <w:abstractNumId w:val="11"/>
  </w:num>
  <w:num w:numId="10" w16cid:durableId="1550342145">
    <w:abstractNumId w:val="10"/>
  </w:num>
  <w:num w:numId="11" w16cid:durableId="247620264">
    <w:abstractNumId w:val="22"/>
  </w:num>
  <w:num w:numId="12" w16cid:durableId="27918419">
    <w:abstractNumId w:val="0"/>
  </w:num>
  <w:num w:numId="13" w16cid:durableId="339937964">
    <w:abstractNumId w:val="16"/>
  </w:num>
  <w:num w:numId="14" w16cid:durableId="573013196">
    <w:abstractNumId w:val="39"/>
  </w:num>
  <w:num w:numId="15" w16cid:durableId="734085346">
    <w:abstractNumId w:val="37"/>
  </w:num>
  <w:num w:numId="16" w16cid:durableId="762801877">
    <w:abstractNumId w:val="42"/>
  </w:num>
  <w:num w:numId="17" w16cid:durableId="896471125">
    <w:abstractNumId w:val="5"/>
  </w:num>
  <w:num w:numId="18" w16cid:durableId="902176721">
    <w:abstractNumId w:val="25"/>
  </w:num>
  <w:num w:numId="19" w16cid:durableId="97069713">
    <w:abstractNumId w:val="24"/>
  </w:num>
  <w:num w:numId="20" w16cid:durableId="1039165922">
    <w:abstractNumId w:val="32"/>
  </w:num>
  <w:num w:numId="21" w16cid:durableId="666321714">
    <w:abstractNumId w:val="33"/>
  </w:num>
  <w:num w:numId="22" w16cid:durableId="354114846">
    <w:abstractNumId w:val="13"/>
  </w:num>
  <w:num w:numId="23" w16cid:durableId="1599170254">
    <w:abstractNumId w:val="12"/>
  </w:num>
  <w:num w:numId="24" w16cid:durableId="205652890">
    <w:abstractNumId w:val="14"/>
  </w:num>
  <w:num w:numId="25" w16cid:durableId="237251113">
    <w:abstractNumId w:val="34"/>
  </w:num>
  <w:num w:numId="26" w16cid:durableId="887494898">
    <w:abstractNumId w:val="15"/>
  </w:num>
  <w:num w:numId="27" w16cid:durableId="2167821">
    <w:abstractNumId w:val="21"/>
  </w:num>
  <w:num w:numId="28" w16cid:durableId="382993683">
    <w:abstractNumId w:val="46"/>
  </w:num>
  <w:num w:numId="29" w16cid:durableId="940066334">
    <w:abstractNumId w:val="38"/>
  </w:num>
  <w:num w:numId="30" w16cid:durableId="349647296">
    <w:abstractNumId w:val="9"/>
  </w:num>
  <w:num w:numId="31" w16cid:durableId="655841968">
    <w:abstractNumId w:val="28"/>
  </w:num>
  <w:num w:numId="32" w16cid:durableId="1833134038">
    <w:abstractNumId w:val="41"/>
  </w:num>
  <w:num w:numId="33" w16cid:durableId="994144188">
    <w:abstractNumId w:val="23"/>
  </w:num>
  <w:num w:numId="34" w16cid:durableId="1990358220">
    <w:abstractNumId w:val="30"/>
  </w:num>
  <w:num w:numId="35" w16cid:durableId="1391465736">
    <w:abstractNumId w:val="45"/>
  </w:num>
  <w:num w:numId="36" w16cid:durableId="111167814">
    <w:abstractNumId w:val="3"/>
  </w:num>
  <w:num w:numId="37" w16cid:durableId="281035635">
    <w:abstractNumId w:val="19"/>
  </w:num>
  <w:num w:numId="38" w16cid:durableId="591473933">
    <w:abstractNumId w:val="29"/>
  </w:num>
  <w:num w:numId="39" w16cid:durableId="82068572">
    <w:abstractNumId w:val="7"/>
  </w:num>
  <w:num w:numId="40" w16cid:durableId="285936250">
    <w:abstractNumId w:val="40"/>
  </w:num>
  <w:num w:numId="41" w16cid:durableId="473066498">
    <w:abstractNumId w:val="35"/>
  </w:num>
  <w:num w:numId="42" w16cid:durableId="1449659293">
    <w:abstractNumId w:val="6"/>
  </w:num>
  <w:num w:numId="43" w16cid:durableId="1443501431">
    <w:abstractNumId w:val="1"/>
  </w:num>
  <w:num w:numId="44" w16cid:durableId="86510738">
    <w:abstractNumId w:val="43"/>
  </w:num>
  <w:num w:numId="45" w16cid:durableId="735206812">
    <w:abstractNumId w:val="20"/>
  </w:num>
  <w:num w:numId="46" w16cid:durableId="1109273510">
    <w:abstractNumId w:val="31"/>
  </w:num>
  <w:num w:numId="47" w16cid:durableId="2126187781">
    <w:abstractNumId w:val="44"/>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attachedTemplate r:id="rId1"/>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B80"/>
    <w:rsid w:val="000009EA"/>
    <w:rsid w:val="00002535"/>
    <w:rsid w:val="0000701C"/>
    <w:rsid w:val="0000701E"/>
    <w:rsid w:val="00010589"/>
    <w:rsid w:val="00015D91"/>
    <w:rsid w:val="00016316"/>
    <w:rsid w:val="0001732A"/>
    <w:rsid w:val="00017474"/>
    <w:rsid w:val="0001749B"/>
    <w:rsid w:val="000354B1"/>
    <w:rsid w:val="000373F7"/>
    <w:rsid w:val="00050B1D"/>
    <w:rsid w:val="00051E5D"/>
    <w:rsid w:val="00053BC0"/>
    <w:rsid w:val="0005744D"/>
    <w:rsid w:val="0005783C"/>
    <w:rsid w:val="00063769"/>
    <w:rsid w:val="00063AB2"/>
    <w:rsid w:val="00064C06"/>
    <w:rsid w:val="00065496"/>
    <w:rsid w:val="00074FBF"/>
    <w:rsid w:val="000764E7"/>
    <w:rsid w:val="00083663"/>
    <w:rsid w:val="000872FD"/>
    <w:rsid w:val="00090AEE"/>
    <w:rsid w:val="00091536"/>
    <w:rsid w:val="00093587"/>
    <w:rsid w:val="00094FF2"/>
    <w:rsid w:val="000A0F4C"/>
    <w:rsid w:val="000A2BA8"/>
    <w:rsid w:val="000B3C80"/>
    <w:rsid w:val="000C2DFE"/>
    <w:rsid w:val="000C474D"/>
    <w:rsid w:val="000C5BF7"/>
    <w:rsid w:val="000C60FA"/>
    <w:rsid w:val="000D3197"/>
    <w:rsid w:val="000D7ACE"/>
    <w:rsid w:val="000F3BF7"/>
    <w:rsid w:val="000F63A9"/>
    <w:rsid w:val="000F6B29"/>
    <w:rsid w:val="001047C9"/>
    <w:rsid w:val="00107532"/>
    <w:rsid w:val="0010771E"/>
    <w:rsid w:val="00111668"/>
    <w:rsid w:val="00115AB7"/>
    <w:rsid w:val="00120261"/>
    <w:rsid w:val="00120999"/>
    <w:rsid w:val="00122228"/>
    <w:rsid w:val="001257C8"/>
    <w:rsid w:val="00136360"/>
    <w:rsid w:val="001370AC"/>
    <w:rsid w:val="00141095"/>
    <w:rsid w:val="001420E3"/>
    <w:rsid w:val="00143DF2"/>
    <w:rsid w:val="00143EDB"/>
    <w:rsid w:val="001440A4"/>
    <w:rsid w:val="00145462"/>
    <w:rsid w:val="0014576F"/>
    <w:rsid w:val="001469FE"/>
    <w:rsid w:val="00147F12"/>
    <w:rsid w:val="001528EA"/>
    <w:rsid w:val="00156FE6"/>
    <w:rsid w:val="00157016"/>
    <w:rsid w:val="001601B4"/>
    <w:rsid w:val="001612A4"/>
    <w:rsid w:val="00161734"/>
    <w:rsid w:val="001618D2"/>
    <w:rsid w:val="00161B38"/>
    <w:rsid w:val="00162882"/>
    <w:rsid w:val="001635A3"/>
    <w:rsid w:val="00166A6C"/>
    <w:rsid w:val="001676A2"/>
    <w:rsid w:val="00171AE6"/>
    <w:rsid w:val="001727B5"/>
    <w:rsid w:val="00174395"/>
    <w:rsid w:val="001777B3"/>
    <w:rsid w:val="0018315F"/>
    <w:rsid w:val="00190DD7"/>
    <w:rsid w:val="00193E34"/>
    <w:rsid w:val="0019515C"/>
    <w:rsid w:val="001972A3"/>
    <w:rsid w:val="001A1E55"/>
    <w:rsid w:val="001A4FD3"/>
    <w:rsid w:val="001A57AA"/>
    <w:rsid w:val="001B029C"/>
    <w:rsid w:val="001B11A2"/>
    <w:rsid w:val="001B4FA8"/>
    <w:rsid w:val="001B5A4B"/>
    <w:rsid w:val="001B6E1E"/>
    <w:rsid w:val="001C1122"/>
    <w:rsid w:val="001C177E"/>
    <w:rsid w:val="001C347B"/>
    <w:rsid w:val="001C4AAC"/>
    <w:rsid w:val="001D07B9"/>
    <w:rsid w:val="001D46BD"/>
    <w:rsid w:val="001D4B8B"/>
    <w:rsid w:val="001D5858"/>
    <w:rsid w:val="001D643A"/>
    <w:rsid w:val="001E5715"/>
    <w:rsid w:val="001F095B"/>
    <w:rsid w:val="001F1257"/>
    <w:rsid w:val="001F2769"/>
    <w:rsid w:val="001F2FFA"/>
    <w:rsid w:val="001F53F8"/>
    <w:rsid w:val="001F569B"/>
    <w:rsid w:val="001F7505"/>
    <w:rsid w:val="001F7B6F"/>
    <w:rsid w:val="00201243"/>
    <w:rsid w:val="002060BC"/>
    <w:rsid w:val="00210BFB"/>
    <w:rsid w:val="0021456D"/>
    <w:rsid w:val="00215F72"/>
    <w:rsid w:val="002172BE"/>
    <w:rsid w:val="00220D59"/>
    <w:rsid w:val="002227CF"/>
    <w:rsid w:val="002249A0"/>
    <w:rsid w:val="00227800"/>
    <w:rsid w:val="00230E41"/>
    <w:rsid w:val="00234BA3"/>
    <w:rsid w:val="00236DDB"/>
    <w:rsid w:val="0023759C"/>
    <w:rsid w:val="0023779E"/>
    <w:rsid w:val="00237FDB"/>
    <w:rsid w:val="0024383A"/>
    <w:rsid w:val="00243CCA"/>
    <w:rsid w:val="002454F7"/>
    <w:rsid w:val="002455FE"/>
    <w:rsid w:val="00253B86"/>
    <w:rsid w:val="00260CCC"/>
    <w:rsid w:val="00261D64"/>
    <w:rsid w:val="0026330F"/>
    <w:rsid w:val="00263C6A"/>
    <w:rsid w:val="00264267"/>
    <w:rsid w:val="002673F1"/>
    <w:rsid w:val="002679E8"/>
    <w:rsid w:val="002720E2"/>
    <w:rsid w:val="00274478"/>
    <w:rsid w:val="00274F89"/>
    <w:rsid w:val="002813D9"/>
    <w:rsid w:val="00282EBE"/>
    <w:rsid w:val="00286361"/>
    <w:rsid w:val="00290C75"/>
    <w:rsid w:val="00291948"/>
    <w:rsid w:val="002923DF"/>
    <w:rsid w:val="00292F23"/>
    <w:rsid w:val="002A46D9"/>
    <w:rsid w:val="002A7B03"/>
    <w:rsid w:val="002B389E"/>
    <w:rsid w:val="002B7802"/>
    <w:rsid w:val="002C5964"/>
    <w:rsid w:val="002C68CC"/>
    <w:rsid w:val="002D39EE"/>
    <w:rsid w:val="002D6619"/>
    <w:rsid w:val="002D7B1D"/>
    <w:rsid w:val="002D7C65"/>
    <w:rsid w:val="002E26BF"/>
    <w:rsid w:val="002E465A"/>
    <w:rsid w:val="002E5807"/>
    <w:rsid w:val="002E6170"/>
    <w:rsid w:val="002E751B"/>
    <w:rsid w:val="002E783E"/>
    <w:rsid w:val="002F1574"/>
    <w:rsid w:val="00302EB0"/>
    <w:rsid w:val="00306EFD"/>
    <w:rsid w:val="0030712F"/>
    <w:rsid w:val="00310F99"/>
    <w:rsid w:val="00311144"/>
    <w:rsid w:val="00312493"/>
    <w:rsid w:val="00316532"/>
    <w:rsid w:val="00324A23"/>
    <w:rsid w:val="00326263"/>
    <w:rsid w:val="00327D08"/>
    <w:rsid w:val="00330714"/>
    <w:rsid w:val="003360EE"/>
    <w:rsid w:val="0034165B"/>
    <w:rsid w:val="003431F3"/>
    <w:rsid w:val="00352C7D"/>
    <w:rsid w:val="003568FF"/>
    <w:rsid w:val="00356913"/>
    <w:rsid w:val="00367F3A"/>
    <w:rsid w:val="00371D5C"/>
    <w:rsid w:val="0037519B"/>
    <w:rsid w:val="00381F17"/>
    <w:rsid w:val="0038209E"/>
    <w:rsid w:val="00385A4B"/>
    <w:rsid w:val="0039054F"/>
    <w:rsid w:val="0039408C"/>
    <w:rsid w:val="0039481E"/>
    <w:rsid w:val="003A1DFC"/>
    <w:rsid w:val="003A2AC4"/>
    <w:rsid w:val="003A4005"/>
    <w:rsid w:val="003B0A72"/>
    <w:rsid w:val="003C27CC"/>
    <w:rsid w:val="003C3AAB"/>
    <w:rsid w:val="003C3DB5"/>
    <w:rsid w:val="003C4307"/>
    <w:rsid w:val="003C46EA"/>
    <w:rsid w:val="003C6984"/>
    <w:rsid w:val="003D299A"/>
    <w:rsid w:val="003D5181"/>
    <w:rsid w:val="003D52C6"/>
    <w:rsid w:val="003D7C02"/>
    <w:rsid w:val="003D7D82"/>
    <w:rsid w:val="003E0277"/>
    <w:rsid w:val="003E33D3"/>
    <w:rsid w:val="003E7C3E"/>
    <w:rsid w:val="003F063C"/>
    <w:rsid w:val="003F2526"/>
    <w:rsid w:val="003F6334"/>
    <w:rsid w:val="0040128B"/>
    <w:rsid w:val="004020AD"/>
    <w:rsid w:val="00402FD2"/>
    <w:rsid w:val="004139AB"/>
    <w:rsid w:val="0041405B"/>
    <w:rsid w:val="00414AF4"/>
    <w:rsid w:val="004164B0"/>
    <w:rsid w:val="00420C06"/>
    <w:rsid w:val="004213AA"/>
    <w:rsid w:val="00424911"/>
    <w:rsid w:val="004259D6"/>
    <w:rsid w:val="00426E56"/>
    <w:rsid w:val="004279C9"/>
    <w:rsid w:val="00434192"/>
    <w:rsid w:val="0044525C"/>
    <w:rsid w:val="00445ED3"/>
    <w:rsid w:val="00447CE5"/>
    <w:rsid w:val="00456393"/>
    <w:rsid w:val="00464F08"/>
    <w:rsid w:val="004710A7"/>
    <w:rsid w:val="00477DC9"/>
    <w:rsid w:val="00477F7C"/>
    <w:rsid w:val="004812AE"/>
    <w:rsid w:val="004901D1"/>
    <w:rsid w:val="00495AC2"/>
    <w:rsid w:val="004A1ECD"/>
    <w:rsid w:val="004A2105"/>
    <w:rsid w:val="004A6EAA"/>
    <w:rsid w:val="004B0D61"/>
    <w:rsid w:val="004B12A6"/>
    <w:rsid w:val="004B3084"/>
    <w:rsid w:val="004B34EC"/>
    <w:rsid w:val="004B4136"/>
    <w:rsid w:val="004B5668"/>
    <w:rsid w:val="004C0273"/>
    <w:rsid w:val="004C6417"/>
    <w:rsid w:val="004C7E4F"/>
    <w:rsid w:val="004D03FE"/>
    <w:rsid w:val="004D074B"/>
    <w:rsid w:val="004D1C69"/>
    <w:rsid w:val="004D1F3D"/>
    <w:rsid w:val="004D5193"/>
    <w:rsid w:val="004D5430"/>
    <w:rsid w:val="004E2F73"/>
    <w:rsid w:val="004E4625"/>
    <w:rsid w:val="004E7072"/>
    <w:rsid w:val="00501346"/>
    <w:rsid w:val="005106DD"/>
    <w:rsid w:val="00510787"/>
    <w:rsid w:val="00513C74"/>
    <w:rsid w:val="00516C0F"/>
    <w:rsid w:val="005200D7"/>
    <w:rsid w:val="0052062F"/>
    <w:rsid w:val="005242AF"/>
    <w:rsid w:val="00526BF0"/>
    <w:rsid w:val="00533AE4"/>
    <w:rsid w:val="00534DF0"/>
    <w:rsid w:val="00540656"/>
    <w:rsid w:val="0054550E"/>
    <w:rsid w:val="00552033"/>
    <w:rsid w:val="00564761"/>
    <w:rsid w:val="00564C73"/>
    <w:rsid w:val="00565C0E"/>
    <w:rsid w:val="005704B6"/>
    <w:rsid w:val="00571184"/>
    <w:rsid w:val="005714CA"/>
    <w:rsid w:val="00571BF7"/>
    <w:rsid w:val="00573288"/>
    <w:rsid w:val="0057364B"/>
    <w:rsid w:val="005763E0"/>
    <w:rsid w:val="0058595F"/>
    <w:rsid w:val="00587931"/>
    <w:rsid w:val="00587BEA"/>
    <w:rsid w:val="00592BC2"/>
    <w:rsid w:val="00596A42"/>
    <w:rsid w:val="005A4634"/>
    <w:rsid w:val="005A76FC"/>
    <w:rsid w:val="005B1057"/>
    <w:rsid w:val="005C54BC"/>
    <w:rsid w:val="005C5DEA"/>
    <w:rsid w:val="005D0590"/>
    <w:rsid w:val="005D6D62"/>
    <w:rsid w:val="005E3136"/>
    <w:rsid w:val="005E4223"/>
    <w:rsid w:val="005E736F"/>
    <w:rsid w:val="005F0784"/>
    <w:rsid w:val="005F1620"/>
    <w:rsid w:val="005F238C"/>
    <w:rsid w:val="005F447A"/>
    <w:rsid w:val="005F68FB"/>
    <w:rsid w:val="00611219"/>
    <w:rsid w:val="00612357"/>
    <w:rsid w:val="006140D0"/>
    <w:rsid w:val="00614FC1"/>
    <w:rsid w:val="00631F5B"/>
    <w:rsid w:val="006349DA"/>
    <w:rsid w:val="006370E9"/>
    <w:rsid w:val="00637330"/>
    <w:rsid w:val="006405E7"/>
    <w:rsid w:val="00642C85"/>
    <w:rsid w:val="0064375E"/>
    <w:rsid w:val="00644A0F"/>
    <w:rsid w:val="00651794"/>
    <w:rsid w:val="00662526"/>
    <w:rsid w:val="00662CD1"/>
    <w:rsid w:val="00667F37"/>
    <w:rsid w:val="00674FC0"/>
    <w:rsid w:val="00675989"/>
    <w:rsid w:val="00681E8A"/>
    <w:rsid w:val="00684866"/>
    <w:rsid w:val="006849A8"/>
    <w:rsid w:val="00693141"/>
    <w:rsid w:val="00695528"/>
    <w:rsid w:val="006963FA"/>
    <w:rsid w:val="00696DD8"/>
    <w:rsid w:val="00697FF7"/>
    <w:rsid w:val="006A38CD"/>
    <w:rsid w:val="006A4ABA"/>
    <w:rsid w:val="006B1962"/>
    <w:rsid w:val="006C0835"/>
    <w:rsid w:val="006D5AAF"/>
    <w:rsid w:val="006E0DAA"/>
    <w:rsid w:val="006E1753"/>
    <w:rsid w:val="006E4DBF"/>
    <w:rsid w:val="006E5DBF"/>
    <w:rsid w:val="006E5F2D"/>
    <w:rsid w:val="006E714A"/>
    <w:rsid w:val="006E780A"/>
    <w:rsid w:val="006F0218"/>
    <w:rsid w:val="006F53B2"/>
    <w:rsid w:val="006F5A11"/>
    <w:rsid w:val="007000E4"/>
    <w:rsid w:val="00707A02"/>
    <w:rsid w:val="00707F98"/>
    <w:rsid w:val="00714359"/>
    <w:rsid w:val="007160ED"/>
    <w:rsid w:val="00720787"/>
    <w:rsid w:val="00721715"/>
    <w:rsid w:val="00727C94"/>
    <w:rsid w:val="00731C0E"/>
    <w:rsid w:val="007367B2"/>
    <w:rsid w:val="00740FE1"/>
    <w:rsid w:val="00741CBA"/>
    <w:rsid w:val="00741D3B"/>
    <w:rsid w:val="007433A8"/>
    <w:rsid w:val="00743888"/>
    <w:rsid w:val="0074567C"/>
    <w:rsid w:val="00751607"/>
    <w:rsid w:val="0075535E"/>
    <w:rsid w:val="007620B9"/>
    <w:rsid w:val="00764FDE"/>
    <w:rsid w:val="007675B8"/>
    <w:rsid w:val="00770831"/>
    <w:rsid w:val="00773238"/>
    <w:rsid w:val="00777027"/>
    <w:rsid w:val="00783F5A"/>
    <w:rsid w:val="00791DD1"/>
    <w:rsid w:val="0079269B"/>
    <w:rsid w:val="007930BD"/>
    <w:rsid w:val="007958A8"/>
    <w:rsid w:val="007A31FA"/>
    <w:rsid w:val="007A4C42"/>
    <w:rsid w:val="007B0E3D"/>
    <w:rsid w:val="007B5441"/>
    <w:rsid w:val="007B798F"/>
    <w:rsid w:val="007B7DD8"/>
    <w:rsid w:val="007C0BE2"/>
    <w:rsid w:val="007C5493"/>
    <w:rsid w:val="007C6612"/>
    <w:rsid w:val="007D02AC"/>
    <w:rsid w:val="007D1D1F"/>
    <w:rsid w:val="007D1EB4"/>
    <w:rsid w:val="007D2DBD"/>
    <w:rsid w:val="007D5379"/>
    <w:rsid w:val="007D5BB1"/>
    <w:rsid w:val="007E06B8"/>
    <w:rsid w:val="007E4E17"/>
    <w:rsid w:val="007E7539"/>
    <w:rsid w:val="007F46EC"/>
    <w:rsid w:val="007F4DC5"/>
    <w:rsid w:val="007F5DC4"/>
    <w:rsid w:val="008024B7"/>
    <w:rsid w:val="008025CC"/>
    <w:rsid w:val="008072F2"/>
    <w:rsid w:val="00807E8F"/>
    <w:rsid w:val="00810DE2"/>
    <w:rsid w:val="0081543C"/>
    <w:rsid w:val="008161C0"/>
    <w:rsid w:val="008249EF"/>
    <w:rsid w:val="00827330"/>
    <w:rsid w:val="008357E0"/>
    <w:rsid w:val="00835CBE"/>
    <w:rsid w:val="0084188C"/>
    <w:rsid w:val="00842B5A"/>
    <w:rsid w:val="008446B9"/>
    <w:rsid w:val="00845058"/>
    <w:rsid w:val="008456D3"/>
    <w:rsid w:val="00851804"/>
    <w:rsid w:val="00861DCE"/>
    <w:rsid w:val="00862300"/>
    <w:rsid w:val="008632F3"/>
    <w:rsid w:val="00881597"/>
    <w:rsid w:val="00882516"/>
    <w:rsid w:val="0088641D"/>
    <w:rsid w:val="00886FED"/>
    <w:rsid w:val="00890ED6"/>
    <w:rsid w:val="00890F2E"/>
    <w:rsid w:val="00894FDC"/>
    <w:rsid w:val="008A71F2"/>
    <w:rsid w:val="008B2E34"/>
    <w:rsid w:val="008B305D"/>
    <w:rsid w:val="008B371E"/>
    <w:rsid w:val="008B3FD4"/>
    <w:rsid w:val="008B645D"/>
    <w:rsid w:val="008B742A"/>
    <w:rsid w:val="008C162E"/>
    <w:rsid w:val="008C3CEA"/>
    <w:rsid w:val="008D06CE"/>
    <w:rsid w:val="008D28B4"/>
    <w:rsid w:val="008D4AB9"/>
    <w:rsid w:val="008E2148"/>
    <w:rsid w:val="008E53AB"/>
    <w:rsid w:val="008E653D"/>
    <w:rsid w:val="008E73C2"/>
    <w:rsid w:val="008F3D63"/>
    <w:rsid w:val="0090052F"/>
    <w:rsid w:val="00905E0B"/>
    <w:rsid w:val="009076C1"/>
    <w:rsid w:val="009078B5"/>
    <w:rsid w:val="009103C9"/>
    <w:rsid w:val="00910AC7"/>
    <w:rsid w:val="00911B5E"/>
    <w:rsid w:val="00912DD9"/>
    <w:rsid w:val="00921FBE"/>
    <w:rsid w:val="0092305B"/>
    <w:rsid w:val="00923994"/>
    <w:rsid w:val="00924D7E"/>
    <w:rsid w:val="00926B80"/>
    <w:rsid w:val="00927FCF"/>
    <w:rsid w:val="009305E4"/>
    <w:rsid w:val="00932198"/>
    <w:rsid w:val="00932563"/>
    <w:rsid w:val="00946D2D"/>
    <w:rsid w:val="00946DBA"/>
    <w:rsid w:val="009503E3"/>
    <w:rsid w:val="009507FC"/>
    <w:rsid w:val="0095156A"/>
    <w:rsid w:val="00956A8C"/>
    <w:rsid w:val="00965A9C"/>
    <w:rsid w:val="009668D9"/>
    <w:rsid w:val="00966B5E"/>
    <w:rsid w:val="00967D3F"/>
    <w:rsid w:val="009702EE"/>
    <w:rsid w:val="0097242F"/>
    <w:rsid w:val="0097417B"/>
    <w:rsid w:val="00974B50"/>
    <w:rsid w:val="00974CBC"/>
    <w:rsid w:val="00974E99"/>
    <w:rsid w:val="00975381"/>
    <w:rsid w:val="009758A9"/>
    <w:rsid w:val="00981244"/>
    <w:rsid w:val="009874FE"/>
    <w:rsid w:val="0099101B"/>
    <w:rsid w:val="009915A0"/>
    <w:rsid w:val="009927E3"/>
    <w:rsid w:val="00992A9E"/>
    <w:rsid w:val="0099600E"/>
    <w:rsid w:val="00996CEE"/>
    <w:rsid w:val="009B1D27"/>
    <w:rsid w:val="009B7441"/>
    <w:rsid w:val="009C1067"/>
    <w:rsid w:val="009C3297"/>
    <w:rsid w:val="009E1697"/>
    <w:rsid w:val="009E3E7C"/>
    <w:rsid w:val="009E6A99"/>
    <w:rsid w:val="009F3A2B"/>
    <w:rsid w:val="009F4E5E"/>
    <w:rsid w:val="00A05BDF"/>
    <w:rsid w:val="00A060B3"/>
    <w:rsid w:val="00A06AB3"/>
    <w:rsid w:val="00A102D4"/>
    <w:rsid w:val="00A1254B"/>
    <w:rsid w:val="00A14DF2"/>
    <w:rsid w:val="00A157C6"/>
    <w:rsid w:val="00A201D5"/>
    <w:rsid w:val="00A21FAC"/>
    <w:rsid w:val="00A23E6A"/>
    <w:rsid w:val="00A26941"/>
    <w:rsid w:val="00A275D3"/>
    <w:rsid w:val="00A32112"/>
    <w:rsid w:val="00A369CF"/>
    <w:rsid w:val="00A4320C"/>
    <w:rsid w:val="00A448DC"/>
    <w:rsid w:val="00A51451"/>
    <w:rsid w:val="00A57FC2"/>
    <w:rsid w:val="00A64F3E"/>
    <w:rsid w:val="00A67040"/>
    <w:rsid w:val="00A82532"/>
    <w:rsid w:val="00A92F46"/>
    <w:rsid w:val="00A9368D"/>
    <w:rsid w:val="00A93DFB"/>
    <w:rsid w:val="00A94A08"/>
    <w:rsid w:val="00A95E5B"/>
    <w:rsid w:val="00AA2A25"/>
    <w:rsid w:val="00AA709B"/>
    <w:rsid w:val="00AB3DBF"/>
    <w:rsid w:val="00AB6C99"/>
    <w:rsid w:val="00AC0631"/>
    <w:rsid w:val="00AD0954"/>
    <w:rsid w:val="00AD1694"/>
    <w:rsid w:val="00AD1E2D"/>
    <w:rsid w:val="00AD2BAF"/>
    <w:rsid w:val="00AD5BF4"/>
    <w:rsid w:val="00AD7294"/>
    <w:rsid w:val="00AE08EF"/>
    <w:rsid w:val="00AE6EEC"/>
    <w:rsid w:val="00AF6E68"/>
    <w:rsid w:val="00B01B99"/>
    <w:rsid w:val="00B0390E"/>
    <w:rsid w:val="00B0450A"/>
    <w:rsid w:val="00B17D79"/>
    <w:rsid w:val="00B271C3"/>
    <w:rsid w:val="00B306CD"/>
    <w:rsid w:val="00B32C9D"/>
    <w:rsid w:val="00B3311F"/>
    <w:rsid w:val="00B36641"/>
    <w:rsid w:val="00B4003D"/>
    <w:rsid w:val="00B401A3"/>
    <w:rsid w:val="00B42BCA"/>
    <w:rsid w:val="00B434D6"/>
    <w:rsid w:val="00B44DD2"/>
    <w:rsid w:val="00B4658F"/>
    <w:rsid w:val="00B55E4B"/>
    <w:rsid w:val="00B62915"/>
    <w:rsid w:val="00B62FEE"/>
    <w:rsid w:val="00B64B73"/>
    <w:rsid w:val="00B6530A"/>
    <w:rsid w:val="00B6542F"/>
    <w:rsid w:val="00B70A1A"/>
    <w:rsid w:val="00B72CEA"/>
    <w:rsid w:val="00B73D82"/>
    <w:rsid w:val="00B75EF5"/>
    <w:rsid w:val="00B76631"/>
    <w:rsid w:val="00B80119"/>
    <w:rsid w:val="00B821BA"/>
    <w:rsid w:val="00B879B6"/>
    <w:rsid w:val="00B87A3C"/>
    <w:rsid w:val="00B9684A"/>
    <w:rsid w:val="00BB18DB"/>
    <w:rsid w:val="00BB317F"/>
    <w:rsid w:val="00BB4BA2"/>
    <w:rsid w:val="00BB63AA"/>
    <w:rsid w:val="00BC0189"/>
    <w:rsid w:val="00BD120C"/>
    <w:rsid w:val="00BD4A7D"/>
    <w:rsid w:val="00BD6F1E"/>
    <w:rsid w:val="00BE4228"/>
    <w:rsid w:val="00BF17E5"/>
    <w:rsid w:val="00BF4C44"/>
    <w:rsid w:val="00C00F39"/>
    <w:rsid w:val="00C01843"/>
    <w:rsid w:val="00C01A5D"/>
    <w:rsid w:val="00C054DD"/>
    <w:rsid w:val="00C07579"/>
    <w:rsid w:val="00C101EA"/>
    <w:rsid w:val="00C10B89"/>
    <w:rsid w:val="00C113BE"/>
    <w:rsid w:val="00C13BDF"/>
    <w:rsid w:val="00C1640A"/>
    <w:rsid w:val="00C238D9"/>
    <w:rsid w:val="00C239A5"/>
    <w:rsid w:val="00C257A4"/>
    <w:rsid w:val="00C3006F"/>
    <w:rsid w:val="00C303B2"/>
    <w:rsid w:val="00C319F4"/>
    <w:rsid w:val="00C375BC"/>
    <w:rsid w:val="00C425F1"/>
    <w:rsid w:val="00C42AF2"/>
    <w:rsid w:val="00C432B5"/>
    <w:rsid w:val="00C43EC3"/>
    <w:rsid w:val="00C45135"/>
    <w:rsid w:val="00C6246F"/>
    <w:rsid w:val="00C64679"/>
    <w:rsid w:val="00C66FEF"/>
    <w:rsid w:val="00C67FAD"/>
    <w:rsid w:val="00C70829"/>
    <w:rsid w:val="00C7489E"/>
    <w:rsid w:val="00C76A38"/>
    <w:rsid w:val="00C803A7"/>
    <w:rsid w:val="00C8081C"/>
    <w:rsid w:val="00C82FB1"/>
    <w:rsid w:val="00C873BF"/>
    <w:rsid w:val="00C934F4"/>
    <w:rsid w:val="00C9407A"/>
    <w:rsid w:val="00C940AD"/>
    <w:rsid w:val="00C97349"/>
    <w:rsid w:val="00CA4F35"/>
    <w:rsid w:val="00CB0DE0"/>
    <w:rsid w:val="00CB272F"/>
    <w:rsid w:val="00CB3CEA"/>
    <w:rsid w:val="00CC0D9B"/>
    <w:rsid w:val="00CC2D06"/>
    <w:rsid w:val="00CC391E"/>
    <w:rsid w:val="00CC593D"/>
    <w:rsid w:val="00CD05FD"/>
    <w:rsid w:val="00CD0B86"/>
    <w:rsid w:val="00CD1253"/>
    <w:rsid w:val="00CD19E6"/>
    <w:rsid w:val="00CD3CA5"/>
    <w:rsid w:val="00CD510A"/>
    <w:rsid w:val="00CD5131"/>
    <w:rsid w:val="00CE08B6"/>
    <w:rsid w:val="00CE2A7F"/>
    <w:rsid w:val="00CE6FEE"/>
    <w:rsid w:val="00CE754A"/>
    <w:rsid w:val="00CE7D8C"/>
    <w:rsid w:val="00CF597C"/>
    <w:rsid w:val="00CF6F80"/>
    <w:rsid w:val="00D05388"/>
    <w:rsid w:val="00D05B1A"/>
    <w:rsid w:val="00D22699"/>
    <w:rsid w:val="00D22E28"/>
    <w:rsid w:val="00D26410"/>
    <w:rsid w:val="00D30B43"/>
    <w:rsid w:val="00D32417"/>
    <w:rsid w:val="00D40B3B"/>
    <w:rsid w:val="00D53081"/>
    <w:rsid w:val="00D546C4"/>
    <w:rsid w:val="00D57CF8"/>
    <w:rsid w:val="00D61851"/>
    <w:rsid w:val="00D6254F"/>
    <w:rsid w:val="00D669BB"/>
    <w:rsid w:val="00D83319"/>
    <w:rsid w:val="00D85C69"/>
    <w:rsid w:val="00D9554E"/>
    <w:rsid w:val="00D95553"/>
    <w:rsid w:val="00D96941"/>
    <w:rsid w:val="00D97073"/>
    <w:rsid w:val="00DA439A"/>
    <w:rsid w:val="00DA4B21"/>
    <w:rsid w:val="00DB0A6D"/>
    <w:rsid w:val="00DB2FD3"/>
    <w:rsid w:val="00DB3D73"/>
    <w:rsid w:val="00DB519A"/>
    <w:rsid w:val="00DC09E3"/>
    <w:rsid w:val="00DC0AA0"/>
    <w:rsid w:val="00DC6FA1"/>
    <w:rsid w:val="00DD330D"/>
    <w:rsid w:val="00DE6EE6"/>
    <w:rsid w:val="00DE7836"/>
    <w:rsid w:val="00DF082C"/>
    <w:rsid w:val="00DF4231"/>
    <w:rsid w:val="00DF6289"/>
    <w:rsid w:val="00E029B9"/>
    <w:rsid w:val="00E043E2"/>
    <w:rsid w:val="00E05087"/>
    <w:rsid w:val="00E10300"/>
    <w:rsid w:val="00E14589"/>
    <w:rsid w:val="00E14783"/>
    <w:rsid w:val="00E20EE7"/>
    <w:rsid w:val="00E22701"/>
    <w:rsid w:val="00E24D9F"/>
    <w:rsid w:val="00E256D3"/>
    <w:rsid w:val="00E25EA5"/>
    <w:rsid w:val="00E31BDD"/>
    <w:rsid w:val="00E31ED2"/>
    <w:rsid w:val="00E35380"/>
    <w:rsid w:val="00E35409"/>
    <w:rsid w:val="00E553C2"/>
    <w:rsid w:val="00E56E2C"/>
    <w:rsid w:val="00E6503C"/>
    <w:rsid w:val="00E66E23"/>
    <w:rsid w:val="00E73348"/>
    <w:rsid w:val="00E74406"/>
    <w:rsid w:val="00E75780"/>
    <w:rsid w:val="00E90183"/>
    <w:rsid w:val="00E930ED"/>
    <w:rsid w:val="00E96765"/>
    <w:rsid w:val="00EA1823"/>
    <w:rsid w:val="00EA71ED"/>
    <w:rsid w:val="00EB0D15"/>
    <w:rsid w:val="00EB4660"/>
    <w:rsid w:val="00EB73A2"/>
    <w:rsid w:val="00EB79C2"/>
    <w:rsid w:val="00EC1126"/>
    <w:rsid w:val="00EC1CCB"/>
    <w:rsid w:val="00EC256B"/>
    <w:rsid w:val="00EC5627"/>
    <w:rsid w:val="00ED25DE"/>
    <w:rsid w:val="00ED4A4C"/>
    <w:rsid w:val="00ED4D5D"/>
    <w:rsid w:val="00ED5D9C"/>
    <w:rsid w:val="00ED65D8"/>
    <w:rsid w:val="00EE01BA"/>
    <w:rsid w:val="00EE11E2"/>
    <w:rsid w:val="00EE4453"/>
    <w:rsid w:val="00EE4597"/>
    <w:rsid w:val="00EE6EEF"/>
    <w:rsid w:val="00EE7C5F"/>
    <w:rsid w:val="00EF038A"/>
    <w:rsid w:val="00EF04B2"/>
    <w:rsid w:val="00EF1205"/>
    <w:rsid w:val="00EF33D7"/>
    <w:rsid w:val="00EF4C62"/>
    <w:rsid w:val="00EF6065"/>
    <w:rsid w:val="00F004E6"/>
    <w:rsid w:val="00F03E66"/>
    <w:rsid w:val="00F04307"/>
    <w:rsid w:val="00F062B9"/>
    <w:rsid w:val="00F11479"/>
    <w:rsid w:val="00F158EF"/>
    <w:rsid w:val="00F2064A"/>
    <w:rsid w:val="00F2277B"/>
    <w:rsid w:val="00F2320B"/>
    <w:rsid w:val="00F25710"/>
    <w:rsid w:val="00F27D0F"/>
    <w:rsid w:val="00F301B0"/>
    <w:rsid w:val="00F304F4"/>
    <w:rsid w:val="00F3308E"/>
    <w:rsid w:val="00F3374E"/>
    <w:rsid w:val="00F378F7"/>
    <w:rsid w:val="00F41167"/>
    <w:rsid w:val="00F510AD"/>
    <w:rsid w:val="00F55B6A"/>
    <w:rsid w:val="00F56CE1"/>
    <w:rsid w:val="00F63A83"/>
    <w:rsid w:val="00F65C8D"/>
    <w:rsid w:val="00F6655F"/>
    <w:rsid w:val="00F66C14"/>
    <w:rsid w:val="00F74988"/>
    <w:rsid w:val="00F75087"/>
    <w:rsid w:val="00F778CE"/>
    <w:rsid w:val="00F81E0B"/>
    <w:rsid w:val="00F83B06"/>
    <w:rsid w:val="00F84E2D"/>
    <w:rsid w:val="00F862F0"/>
    <w:rsid w:val="00F8752A"/>
    <w:rsid w:val="00F900C1"/>
    <w:rsid w:val="00F91AC5"/>
    <w:rsid w:val="00F92C5D"/>
    <w:rsid w:val="00F94697"/>
    <w:rsid w:val="00F9558C"/>
    <w:rsid w:val="00FA01DC"/>
    <w:rsid w:val="00FA1355"/>
    <w:rsid w:val="00FA30C1"/>
    <w:rsid w:val="00FA3942"/>
    <w:rsid w:val="00FA40F8"/>
    <w:rsid w:val="00FB0DE6"/>
    <w:rsid w:val="00FB2C6D"/>
    <w:rsid w:val="00FC52F4"/>
    <w:rsid w:val="00FD1359"/>
    <w:rsid w:val="00FD5C22"/>
    <w:rsid w:val="00FE4034"/>
    <w:rsid w:val="00FE55D8"/>
    <w:rsid w:val="00FE5722"/>
    <w:rsid w:val="00FE7E89"/>
    <w:rsid w:val="0748AA5C"/>
    <w:rsid w:val="0A7E3F77"/>
    <w:rsid w:val="0C28A8BF"/>
    <w:rsid w:val="127E0F07"/>
    <w:rsid w:val="182D32EE"/>
    <w:rsid w:val="196A1511"/>
    <w:rsid w:val="19DCFCFA"/>
    <w:rsid w:val="304C4742"/>
    <w:rsid w:val="335DEA36"/>
    <w:rsid w:val="3B69A943"/>
    <w:rsid w:val="4B6BCED2"/>
    <w:rsid w:val="4D98E61F"/>
    <w:rsid w:val="527F3EA3"/>
    <w:rsid w:val="65F8091D"/>
    <w:rsid w:val="666C9820"/>
    <w:rsid w:val="6CB7FED6"/>
    <w:rsid w:val="72411099"/>
    <w:rsid w:val="7529CE33"/>
    <w:rsid w:val="75BA456D"/>
    <w:rsid w:val="7F0677EE"/>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E0FCD3"/>
  <w15:chartTrackingRefBased/>
  <w15:docId w15:val="{6BB2B74C-0C94-4776-927F-E58D7E3A5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4" w:unhideWhenUsed="1" w:qFormat="1"/>
    <w:lsdException w:name="heading 5" w:semiHidden="1" w:uiPriority="4"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53BC0"/>
    <w:rPr>
      <w:rFonts w:ascii="Arial" w:hAnsi="Arial"/>
      <w:sz w:val="24"/>
      <w:lang w:val="en-GB"/>
    </w:rPr>
  </w:style>
  <w:style w:type="paragraph" w:styleId="Heading10">
    <w:name w:val="heading 1"/>
    <w:basedOn w:val="Normal"/>
    <w:next w:val="Normal"/>
    <w:link w:val="Heading1Char"/>
    <w:uiPriority w:val="9"/>
    <w:rsid w:val="007433A8"/>
    <w:pPr>
      <w:keepNext/>
      <w:keepLines/>
      <w:spacing w:before="240" w:after="0"/>
      <w:outlineLvl w:val="0"/>
    </w:pPr>
    <w:rPr>
      <w:rFonts w:asciiTheme="majorHAnsi" w:eastAsiaTheme="majorEastAsia" w:hAnsiTheme="majorHAnsi" w:cstheme="majorBidi"/>
      <w:color w:val="43A989"/>
      <w:sz w:val="32"/>
      <w:szCs w:val="32"/>
    </w:rPr>
  </w:style>
  <w:style w:type="paragraph" w:styleId="Heading2">
    <w:name w:val="heading 2"/>
    <w:basedOn w:val="Normal"/>
    <w:next w:val="Normal"/>
    <w:link w:val="Heading2Char"/>
    <w:uiPriority w:val="9"/>
    <w:unhideWhenUsed/>
    <w:rsid w:val="007433A8"/>
    <w:pPr>
      <w:keepNext/>
      <w:keepLines/>
      <w:spacing w:before="40" w:after="0"/>
      <w:outlineLvl w:val="1"/>
    </w:pPr>
    <w:rPr>
      <w:rFonts w:asciiTheme="majorHAnsi" w:eastAsiaTheme="majorEastAsia" w:hAnsiTheme="majorHAnsi" w:cstheme="majorBidi"/>
      <w:color w:val="43A989"/>
      <w:sz w:val="26"/>
      <w:szCs w:val="26"/>
    </w:rPr>
  </w:style>
  <w:style w:type="paragraph" w:styleId="Heading3">
    <w:name w:val="heading 3"/>
    <w:basedOn w:val="Normal"/>
    <w:next w:val="Normal"/>
    <w:link w:val="Heading3Char"/>
    <w:uiPriority w:val="9"/>
    <w:unhideWhenUsed/>
    <w:rsid w:val="002A7B03"/>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4"/>
    <w:rsid w:val="007433A8"/>
    <w:pPr>
      <w:keepNext/>
      <w:numPr>
        <w:ilvl w:val="3"/>
        <w:numId w:val="1"/>
      </w:numPr>
      <w:spacing w:before="240" w:after="120" w:line="240" w:lineRule="auto"/>
      <w:outlineLvl w:val="3"/>
    </w:pPr>
    <w:rPr>
      <w:b/>
      <w:bCs/>
      <w:color w:val="003249"/>
      <w:szCs w:val="28"/>
    </w:rPr>
  </w:style>
  <w:style w:type="paragraph" w:styleId="Heading5">
    <w:name w:val="heading 5"/>
    <w:basedOn w:val="Normal"/>
    <w:next w:val="Normal"/>
    <w:link w:val="Heading5Char"/>
    <w:uiPriority w:val="4"/>
    <w:rsid w:val="007433A8"/>
    <w:pPr>
      <w:keepNext/>
      <w:numPr>
        <w:ilvl w:val="4"/>
        <w:numId w:val="1"/>
      </w:numPr>
      <w:spacing w:before="240" w:after="60" w:line="240" w:lineRule="auto"/>
      <w:outlineLvl w:val="4"/>
    </w:pPr>
    <w:rPr>
      <w:b/>
      <w:bCs/>
      <w:i/>
      <w:iCs/>
      <w:color w:val="003249"/>
      <w:szCs w:val="26"/>
    </w:rPr>
  </w:style>
  <w:style w:type="paragraph" w:styleId="Heading6">
    <w:name w:val="heading 6"/>
    <w:basedOn w:val="Normal"/>
    <w:next w:val="Normal"/>
    <w:link w:val="Heading6Char"/>
    <w:uiPriority w:val="9"/>
    <w:semiHidden/>
    <w:unhideWhenUsed/>
    <w:rsid w:val="002A7B03"/>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rsid w:val="002A7B03"/>
    <w:pPr>
      <w:numPr>
        <w:ilvl w:val="6"/>
        <w:numId w:val="1"/>
      </w:numPr>
      <w:spacing w:before="240" w:after="60" w:line="240" w:lineRule="auto"/>
      <w:outlineLvl w:val="6"/>
    </w:pPr>
    <w:rPr>
      <w:i/>
    </w:rPr>
  </w:style>
  <w:style w:type="paragraph" w:styleId="Heading8">
    <w:name w:val="heading 8"/>
    <w:basedOn w:val="Normal"/>
    <w:next w:val="Normal"/>
    <w:link w:val="Heading8Char"/>
    <w:semiHidden/>
    <w:rsid w:val="002A7B03"/>
    <w:pPr>
      <w:numPr>
        <w:ilvl w:val="7"/>
        <w:numId w:val="1"/>
      </w:numPr>
      <w:spacing w:before="240" w:after="60" w:line="240" w:lineRule="auto"/>
      <w:outlineLvl w:val="7"/>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0"/>
    <w:uiPriority w:val="9"/>
    <w:rsid w:val="007433A8"/>
    <w:rPr>
      <w:rFonts w:asciiTheme="majorHAnsi" w:eastAsiaTheme="majorEastAsia" w:hAnsiTheme="majorHAnsi" w:cstheme="majorBidi"/>
      <w:color w:val="43A989"/>
      <w:sz w:val="32"/>
      <w:szCs w:val="32"/>
      <w:lang w:val="en-GB"/>
    </w:rPr>
  </w:style>
  <w:style w:type="character" w:customStyle="1" w:styleId="Heading2Char">
    <w:name w:val="Heading 2 Char"/>
    <w:basedOn w:val="DefaultParagraphFont"/>
    <w:link w:val="Heading2"/>
    <w:uiPriority w:val="9"/>
    <w:rsid w:val="007433A8"/>
    <w:rPr>
      <w:rFonts w:asciiTheme="majorHAnsi" w:eastAsiaTheme="majorEastAsia" w:hAnsiTheme="majorHAnsi" w:cstheme="majorBidi"/>
      <w:color w:val="43A989"/>
      <w:sz w:val="26"/>
      <w:szCs w:val="26"/>
      <w:lang w:val="en-GB"/>
    </w:rPr>
  </w:style>
  <w:style w:type="character" w:customStyle="1" w:styleId="Heading3Char">
    <w:name w:val="Heading 3 Char"/>
    <w:basedOn w:val="DefaultParagraphFont"/>
    <w:link w:val="Heading3"/>
    <w:uiPriority w:val="9"/>
    <w:rsid w:val="002A7B03"/>
    <w:rPr>
      <w:rFonts w:asciiTheme="majorHAnsi" w:eastAsiaTheme="majorEastAsia" w:hAnsiTheme="majorHAnsi" w:cstheme="majorBidi"/>
      <w:color w:val="1F3763" w:themeColor="accent1" w:themeShade="7F"/>
      <w:sz w:val="24"/>
      <w:szCs w:val="24"/>
      <w:lang w:val="en-GB"/>
    </w:rPr>
  </w:style>
  <w:style w:type="character" w:customStyle="1" w:styleId="Heading4Char">
    <w:name w:val="Heading 4 Char"/>
    <w:basedOn w:val="DefaultParagraphFont"/>
    <w:link w:val="Heading4"/>
    <w:uiPriority w:val="4"/>
    <w:rsid w:val="007433A8"/>
    <w:rPr>
      <w:rFonts w:ascii="Arial" w:hAnsi="Arial"/>
      <w:b/>
      <w:bCs/>
      <w:color w:val="003249"/>
      <w:sz w:val="24"/>
      <w:szCs w:val="28"/>
      <w:lang w:val="en-GB"/>
    </w:rPr>
  </w:style>
  <w:style w:type="character" w:customStyle="1" w:styleId="Heading5Char">
    <w:name w:val="Heading 5 Char"/>
    <w:basedOn w:val="DefaultParagraphFont"/>
    <w:link w:val="Heading5"/>
    <w:uiPriority w:val="4"/>
    <w:rsid w:val="007433A8"/>
    <w:rPr>
      <w:rFonts w:ascii="Arial" w:hAnsi="Arial"/>
      <w:b/>
      <w:bCs/>
      <w:i/>
      <w:iCs/>
      <w:color w:val="003249"/>
      <w:sz w:val="24"/>
      <w:szCs w:val="26"/>
      <w:lang w:val="en-GB"/>
    </w:rPr>
  </w:style>
  <w:style w:type="character" w:customStyle="1" w:styleId="Heading6Char">
    <w:name w:val="Heading 6 Char"/>
    <w:basedOn w:val="DefaultParagraphFont"/>
    <w:link w:val="Heading6"/>
    <w:uiPriority w:val="9"/>
    <w:semiHidden/>
    <w:rsid w:val="002A7B03"/>
    <w:rPr>
      <w:rFonts w:asciiTheme="majorHAnsi" w:eastAsiaTheme="majorEastAsia" w:hAnsiTheme="majorHAnsi" w:cstheme="majorBidi"/>
      <w:color w:val="1F3763" w:themeColor="accent1" w:themeShade="7F"/>
      <w:sz w:val="24"/>
      <w:lang w:val="en-GB"/>
    </w:rPr>
  </w:style>
  <w:style w:type="character" w:customStyle="1" w:styleId="Heading7Char">
    <w:name w:val="Heading 7 Char"/>
    <w:basedOn w:val="DefaultParagraphFont"/>
    <w:link w:val="Heading7"/>
    <w:semiHidden/>
    <w:rsid w:val="002A7B03"/>
    <w:rPr>
      <w:rFonts w:ascii="Arial" w:hAnsi="Arial"/>
      <w:i/>
      <w:sz w:val="24"/>
      <w:lang w:val="en-GB"/>
    </w:rPr>
  </w:style>
  <w:style w:type="character" w:customStyle="1" w:styleId="Heading8Char">
    <w:name w:val="Heading 8 Char"/>
    <w:basedOn w:val="DefaultParagraphFont"/>
    <w:link w:val="Heading8"/>
    <w:semiHidden/>
    <w:rsid w:val="002A7B03"/>
    <w:rPr>
      <w:rFonts w:ascii="Arial" w:hAnsi="Arial"/>
      <w:iCs/>
      <w:sz w:val="24"/>
      <w:lang w:val="en-GB"/>
    </w:rPr>
  </w:style>
  <w:style w:type="paragraph" w:customStyle="1" w:styleId="BodytextJustified">
    <w:name w:val="Body text Justified"/>
    <w:basedOn w:val="Normal"/>
    <w:semiHidden/>
    <w:rsid w:val="006349DA"/>
    <w:pPr>
      <w:spacing w:line="240" w:lineRule="auto"/>
      <w:jc w:val="both"/>
    </w:pPr>
    <w:rPr>
      <w:szCs w:val="20"/>
    </w:rPr>
  </w:style>
  <w:style w:type="paragraph" w:styleId="Title">
    <w:name w:val="Title"/>
    <w:basedOn w:val="Normal"/>
    <w:next w:val="Normal"/>
    <w:link w:val="TitleChar"/>
    <w:rsid w:val="006349DA"/>
    <w:pPr>
      <w:spacing w:line="240" w:lineRule="auto"/>
    </w:pPr>
    <w:rPr>
      <w:sz w:val="36"/>
    </w:rPr>
  </w:style>
  <w:style w:type="character" w:customStyle="1" w:styleId="TitleChar">
    <w:name w:val="Title Char"/>
    <w:basedOn w:val="DefaultParagraphFont"/>
    <w:link w:val="Title"/>
    <w:rsid w:val="006349DA"/>
    <w:rPr>
      <w:rFonts w:ascii="Georgia" w:eastAsia="Times New Roman" w:hAnsi="Georgia" w:cs="Times New Roman"/>
      <w:sz w:val="36"/>
      <w:szCs w:val="24"/>
      <w:lang w:val="en-US"/>
    </w:rPr>
  </w:style>
  <w:style w:type="paragraph" w:styleId="TOCHeading">
    <w:name w:val="TOC Heading"/>
    <w:basedOn w:val="TOC1"/>
    <w:next w:val="Normal"/>
    <w:uiPriority w:val="39"/>
    <w:unhideWhenUsed/>
    <w:qFormat/>
    <w:rsid w:val="002A7B03"/>
    <w:rPr>
      <w:lang w:val="en-US"/>
    </w:rPr>
  </w:style>
  <w:style w:type="paragraph" w:styleId="TOC1">
    <w:name w:val="toc 1"/>
    <w:basedOn w:val="Normal"/>
    <w:next w:val="Normal"/>
    <w:link w:val="TOC1Char"/>
    <w:autoRedefine/>
    <w:uiPriority w:val="39"/>
    <w:unhideWhenUsed/>
    <w:rsid w:val="002A7B03"/>
    <w:pPr>
      <w:spacing w:after="100"/>
    </w:pPr>
  </w:style>
  <w:style w:type="character" w:styleId="PageNumber">
    <w:name w:val="page number"/>
    <w:basedOn w:val="DefaultParagraphFont"/>
    <w:unhideWhenUsed/>
    <w:rsid w:val="007433A8"/>
    <w:rPr>
      <w:rFonts w:ascii="Arial" w:hAnsi="Arial"/>
      <w:sz w:val="16"/>
      <w:lang w:val="en-GB"/>
    </w:rPr>
  </w:style>
  <w:style w:type="character" w:customStyle="1" w:styleId="Data">
    <w:name w:val="Data"/>
    <w:basedOn w:val="DefaultParagraphFont"/>
    <w:uiPriority w:val="19"/>
    <w:rsid w:val="002A7B03"/>
    <w:rPr>
      <w:rFonts w:ascii="Arial" w:hAnsi="Arial" w:hint="default"/>
      <w:b w:val="0"/>
      <w:bCs w:val="0"/>
      <w:sz w:val="18"/>
    </w:rPr>
  </w:style>
  <w:style w:type="paragraph" w:customStyle="1" w:styleId="DataLabel">
    <w:name w:val="Data Label"/>
    <w:link w:val="DataLabelChar"/>
    <w:uiPriority w:val="19"/>
    <w:rsid w:val="002A7B03"/>
    <w:pPr>
      <w:tabs>
        <w:tab w:val="left" w:pos="3960"/>
        <w:tab w:val="left" w:pos="4860"/>
        <w:tab w:val="left" w:pos="6840"/>
      </w:tabs>
      <w:spacing w:after="0" w:line="240" w:lineRule="exact"/>
    </w:pPr>
    <w:rPr>
      <w:rFonts w:ascii="Georgia" w:eastAsia="Times New Roman" w:hAnsi="Georgia" w:cs="Georgia"/>
      <w:b/>
      <w:color w:val="211E1E"/>
      <w:sz w:val="18"/>
      <w:szCs w:val="18"/>
      <w:lang w:val="en-GB" w:eastAsia="it-IT"/>
    </w:rPr>
  </w:style>
  <w:style w:type="character" w:customStyle="1" w:styleId="DataLabelChar">
    <w:name w:val="Data Label Char"/>
    <w:basedOn w:val="DefaultParagraphFont"/>
    <w:link w:val="DataLabel"/>
    <w:uiPriority w:val="19"/>
    <w:rsid w:val="002A7B03"/>
    <w:rPr>
      <w:rFonts w:ascii="Georgia" w:eastAsia="Times New Roman" w:hAnsi="Georgia" w:cs="Georgia"/>
      <w:b/>
      <w:color w:val="211E1E"/>
      <w:sz w:val="18"/>
      <w:szCs w:val="18"/>
      <w:lang w:val="en-GB" w:eastAsia="it-IT"/>
    </w:rPr>
  </w:style>
  <w:style w:type="paragraph" w:customStyle="1" w:styleId="Sitename">
    <w:name w:val="Sitename"/>
    <w:basedOn w:val="Normal"/>
    <w:semiHidden/>
    <w:rsid w:val="006349DA"/>
    <w:pPr>
      <w:spacing w:before="227" w:after="227" w:line="400" w:lineRule="atLeast"/>
      <w:ind w:right="-57"/>
      <w:jc w:val="right"/>
    </w:pPr>
    <w:rPr>
      <w:rFonts w:ascii="NotesStyle-BoldTf" w:hAnsi="NotesStyle-BoldTf"/>
      <w:noProof/>
      <w:color w:val="98979C"/>
      <w:sz w:val="40"/>
      <w:szCs w:val="40"/>
    </w:rPr>
  </w:style>
  <w:style w:type="paragraph" w:customStyle="1" w:styleId="Classification">
    <w:name w:val="Classification"/>
    <w:basedOn w:val="Normal"/>
    <w:next w:val="Normal"/>
    <w:semiHidden/>
    <w:rsid w:val="002A7B03"/>
    <w:pPr>
      <w:spacing w:after="0" w:line="240" w:lineRule="atLeast"/>
    </w:pPr>
    <w:rPr>
      <w:rFonts w:ascii="NotesEsa" w:eastAsia="Times New Roman" w:hAnsi="NotesEsa" w:cs="Times New Roman"/>
      <w:sz w:val="20"/>
      <w:szCs w:val="24"/>
      <w:lang w:val="en-US"/>
    </w:rPr>
  </w:style>
  <w:style w:type="paragraph" w:styleId="Footer">
    <w:name w:val="footer"/>
    <w:basedOn w:val="Normal"/>
    <w:link w:val="FooterChar"/>
    <w:uiPriority w:val="99"/>
    <w:unhideWhenUsed/>
    <w:rsid w:val="002A7B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7B03"/>
    <w:rPr>
      <w:rFonts w:ascii="Arial" w:hAnsi="Arial"/>
      <w:sz w:val="24"/>
      <w:lang w:val="en-GB"/>
    </w:rPr>
  </w:style>
  <w:style w:type="paragraph" w:customStyle="1" w:styleId="Appendix">
    <w:name w:val="Appendix"/>
    <w:basedOn w:val="Heading10"/>
    <w:next w:val="Normal"/>
    <w:semiHidden/>
    <w:rsid w:val="006349DA"/>
    <w:pPr>
      <w:numPr>
        <w:ilvl w:val="8"/>
      </w:numPr>
      <w:spacing w:before="0"/>
      <w:outlineLvl w:val="8"/>
    </w:pPr>
    <w:rPr>
      <w:szCs w:val="20"/>
    </w:rPr>
  </w:style>
  <w:style w:type="paragraph" w:customStyle="1" w:styleId="ESA-Address">
    <w:name w:val="ESA-Address"/>
    <w:basedOn w:val="Normal"/>
    <w:semiHidden/>
    <w:rsid w:val="002A7B03"/>
    <w:pPr>
      <w:spacing w:after="0" w:line="240" w:lineRule="auto"/>
      <w:jc w:val="right"/>
    </w:pPr>
    <w:rPr>
      <w:rFonts w:ascii="NotesEsa" w:eastAsia="Times New Roman" w:hAnsi="NotesEsa" w:cs="Times New Roman"/>
      <w:noProof/>
      <w:sz w:val="16"/>
      <w:szCs w:val="16"/>
      <w:lang w:val="en-US"/>
    </w:rPr>
  </w:style>
  <w:style w:type="paragraph" w:customStyle="1" w:styleId="DocumentType">
    <w:name w:val="Document Type"/>
    <w:basedOn w:val="Normal"/>
    <w:semiHidden/>
    <w:rsid w:val="006349DA"/>
    <w:pPr>
      <w:spacing w:line="240" w:lineRule="auto"/>
      <w:ind w:right="-54"/>
    </w:pPr>
    <w:rPr>
      <w:rFonts w:ascii="NotesStyle-BoldTf" w:hAnsi="NotesStyle-BoldTf"/>
      <w:caps/>
      <w:color w:val="4B4B4D"/>
      <w:sz w:val="56"/>
    </w:rPr>
  </w:style>
  <w:style w:type="paragraph" w:customStyle="1" w:styleId="TableTitle">
    <w:name w:val="Table Title"/>
    <w:basedOn w:val="Normal"/>
    <w:semiHidden/>
    <w:rsid w:val="006349DA"/>
    <w:pPr>
      <w:spacing w:line="240" w:lineRule="auto"/>
    </w:pPr>
    <w:rPr>
      <w:rFonts w:ascii="NotesStyle-BoldTf" w:hAnsi="NotesStyle-BoldTf"/>
      <w:caps/>
      <w:color w:val="4B4B4D"/>
      <w:sz w:val="52"/>
    </w:rPr>
  </w:style>
  <w:style w:type="table" w:customStyle="1" w:styleId="ESATable">
    <w:name w:val="ESA Table"/>
    <w:basedOn w:val="TableNormal"/>
    <w:uiPriority w:val="99"/>
    <w:rsid w:val="006349DA"/>
    <w:pPr>
      <w:spacing w:after="0" w:line="240" w:lineRule="auto"/>
    </w:pPr>
    <w:rPr>
      <w:rFonts w:ascii="Georgia" w:hAnsi="Georgia"/>
      <w:sz w:val="24"/>
      <w:szCs w:val="24"/>
      <w:lang w:val="nl-NL"/>
    </w:rPr>
    <w:tblPr>
      <w:tblInd w:w="68" w:type="dxa"/>
      <w:tblBorders>
        <w:top w:val="single" w:sz="12" w:space="0" w:color="auto"/>
        <w:bottom w:val="single" w:sz="12" w:space="0" w:color="auto"/>
        <w:insideH w:val="single" w:sz="12" w:space="0" w:color="auto"/>
        <w:insideV w:val="single" w:sz="2" w:space="0" w:color="auto"/>
      </w:tblBorders>
      <w:tblCellMar>
        <w:top w:w="40" w:type="dxa"/>
        <w:left w:w="68" w:type="dxa"/>
        <w:bottom w:w="28" w:type="dxa"/>
        <w:right w:w="68" w:type="dxa"/>
      </w:tblCellMar>
    </w:tblPr>
    <w:tblStylePr w:type="firstRow">
      <w:tblPr/>
      <w:tcPr>
        <w:shd w:val="clear" w:color="auto" w:fill="E6E6E6"/>
      </w:tcPr>
    </w:tblStylePr>
    <w:tblStylePr w:type="firstCol">
      <w:tblPr>
        <w:tblCellMar>
          <w:top w:w="40" w:type="dxa"/>
          <w:left w:w="0" w:type="dxa"/>
          <w:bottom w:w="28" w:type="dxa"/>
          <w:right w:w="68" w:type="dxa"/>
        </w:tblCellMar>
      </w:tblPr>
      <w:tcPr>
        <w:tcMar>
          <w:top w:w="40" w:type="dxa"/>
          <w:left w:w="68" w:type="dxa"/>
          <w:bottom w:w="28" w:type="dxa"/>
          <w:right w:w="68" w:type="dxa"/>
        </w:tcMar>
      </w:tcPr>
    </w:tblStylePr>
    <w:tblStylePr w:type="lastCol">
      <w:tblPr>
        <w:tblCellMar>
          <w:top w:w="40" w:type="dxa"/>
          <w:left w:w="68" w:type="dxa"/>
          <w:bottom w:w="28" w:type="dxa"/>
          <w:right w:w="0" w:type="dxa"/>
        </w:tblCellMar>
      </w:tblPr>
      <w:tcPr>
        <w:tcMar>
          <w:top w:w="40" w:type="dxa"/>
          <w:left w:w="68" w:type="dxa"/>
          <w:bottom w:w="28" w:type="dxa"/>
          <w:right w:w="0" w:type="nil"/>
        </w:tcMar>
      </w:tcPr>
    </w:tblStylePr>
  </w:style>
  <w:style w:type="character" w:styleId="PlaceholderText">
    <w:name w:val="Placeholder Text"/>
    <w:basedOn w:val="DefaultParagraphFont"/>
    <w:uiPriority w:val="99"/>
    <w:semiHidden/>
    <w:rsid w:val="002A7B03"/>
    <w:rPr>
      <w:color w:val="808080"/>
    </w:rPr>
  </w:style>
  <w:style w:type="paragraph" w:styleId="Header">
    <w:name w:val="header"/>
    <w:basedOn w:val="Normal"/>
    <w:link w:val="HeaderChar"/>
    <w:uiPriority w:val="99"/>
    <w:unhideWhenUsed/>
    <w:rsid w:val="002A7B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7B03"/>
    <w:rPr>
      <w:rFonts w:ascii="Arial" w:hAnsi="Arial"/>
      <w:sz w:val="24"/>
      <w:lang w:val="en-GB"/>
    </w:rPr>
  </w:style>
  <w:style w:type="paragraph" w:customStyle="1" w:styleId="Address">
    <w:name w:val="Address"/>
    <w:basedOn w:val="Header"/>
    <w:link w:val="AddressChar"/>
    <w:qFormat/>
    <w:rsid w:val="002A7B03"/>
    <w:pPr>
      <w:tabs>
        <w:tab w:val="clear" w:pos="4513"/>
        <w:tab w:val="clear" w:pos="9026"/>
        <w:tab w:val="center" w:pos="5103"/>
        <w:tab w:val="right" w:pos="9923"/>
      </w:tabs>
      <w:jc w:val="right"/>
    </w:pPr>
    <w:rPr>
      <w:color w:val="033142"/>
      <w:sz w:val="16"/>
    </w:rPr>
  </w:style>
  <w:style w:type="character" w:customStyle="1" w:styleId="AddressChar">
    <w:name w:val="Address Char"/>
    <w:basedOn w:val="HeaderChar"/>
    <w:link w:val="Address"/>
    <w:rsid w:val="002A7B03"/>
    <w:rPr>
      <w:rFonts w:ascii="Arial" w:hAnsi="Arial"/>
      <w:color w:val="033142"/>
      <w:sz w:val="16"/>
      <w:lang w:val="en-GB"/>
    </w:rPr>
  </w:style>
  <w:style w:type="paragraph" w:customStyle="1" w:styleId="Dates">
    <w:name w:val="Dates"/>
    <w:basedOn w:val="Normal"/>
    <w:link w:val="DatesChar"/>
    <w:qFormat/>
    <w:rsid w:val="002A7B03"/>
    <w:pPr>
      <w:spacing w:line="360" w:lineRule="auto"/>
    </w:pPr>
    <w:rPr>
      <w:rFonts w:cs="Arial"/>
      <w:color w:val="033142"/>
      <w:szCs w:val="20"/>
    </w:rPr>
  </w:style>
  <w:style w:type="character" w:customStyle="1" w:styleId="DatesChar">
    <w:name w:val="Dates Char"/>
    <w:basedOn w:val="DefaultParagraphFont"/>
    <w:link w:val="Dates"/>
    <w:rsid w:val="002A7B03"/>
    <w:rPr>
      <w:rFonts w:ascii="Arial" w:hAnsi="Arial" w:cs="Arial"/>
      <w:color w:val="033142"/>
      <w:sz w:val="24"/>
      <w:szCs w:val="20"/>
      <w:lang w:val="en-GB"/>
    </w:rPr>
  </w:style>
  <w:style w:type="paragraph" w:customStyle="1" w:styleId="CoverRefText">
    <w:name w:val="Cover_Ref_Text"/>
    <w:basedOn w:val="Dates"/>
    <w:link w:val="CoverRefTextChar"/>
    <w:rsid w:val="002A7B03"/>
    <w:pPr>
      <w:spacing w:after="0"/>
    </w:pPr>
    <w:rPr>
      <w:color w:val="355D6D"/>
      <w:sz w:val="18"/>
    </w:rPr>
  </w:style>
  <w:style w:type="character" w:customStyle="1" w:styleId="CoverRefTextChar">
    <w:name w:val="Cover_Ref_Text Char"/>
    <w:basedOn w:val="DatesChar"/>
    <w:link w:val="CoverRefText"/>
    <w:rsid w:val="002A7B03"/>
    <w:rPr>
      <w:rFonts w:ascii="Arial" w:hAnsi="Arial" w:cs="Arial"/>
      <w:color w:val="355D6D"/>
      <w:sz w:val="18"/>
      <w:szCs w:val="20"/>
      <w:lang w:val="en-GB"/>
    </w:rPr>
  </w:style>
  <w:style w:type="paragraph" w:customStyle="1" w:styleId="ApprovalChangeLogTables">
    <w:name w:val="Approval_ChangeLog_Tables"/>
    <w:basedOn w:val="CoverRefText"/>
    <w:link w:val="ApprovalChangeLogTablesChar"/>
    <w:rsid w:val="002A7B03"/>
    <w:rPr>
      <w:color w:val="033142"/>
    </w:rPr>
  </w:style>
  <w:style w:type="character" w:customStyle="1" w:styleId="ApprovalChangeLogTablesChar">
    <w:name w:val="Approval_ChangeLog_Tables Char"/>
    <w:basedOn w:val="CoverRefTextChar"/>
    <w:link w:val="ApprovalChangeLogTables"/>
    <w:rsid w:val="002A7B03"/>
    <w:rPr>
      <w:rFonts w:ascii="Arial" w:hAnsi="Arial" w:cs="Arial"/>
      <w:color w:val="033142"/>
      <w:sz w:val="18"/>
      <w:szCs w:val="20"/>
      <w:lang w:val="en-GB"/>
    </w:rPr>
  </w:style>
  <w:style w:type="paragraph" w:customStyle="1" w:styleId="Body">
    <w:name w:val="Body"/>
    <w:basedOn w:val="Normal"/>
    <w:link w:val="BodyChar"/>
    <w:qFormat/>
    <w:rsid w:val="002A7B03"/>
    <w:pPr>
      <w:spacing w:after="0" w:line="360" w:lineRule="auto"/>
      <w:jc w:val="both"/>
    </w:pPr>
    <w:rPr>
      <w:rFonts w:cs="Arial"/>
      <w:color w:val="000000" w:themeColor="text1"/>
      <w:szCs w:val="24"/>
    </w:rPr>
  </w:style>
  <w:style w:type="character" w:customStyle="1" w:styleId="BodyChar">
    <w:name w:val="Body Char"/>
    <w:basedOn w:val="DefaultParagraphFont"/>
    <w:link w:val="Body"/>
    <w:rsid w:val="002A7B03"/>
    <w:rPr>
      <w:rFonts w:ascii="Arial" w:hAnsi="Arial" w:cs="Arial"/>
      <w:color w:val="000000" w:themeColor="text1"/>
      <w:sz w:val="24"/>
      <w:szCs w:val="24"/>
      <w:lang w:val="en-GB"/>
    </w:rPr>
  </w:style>
  <w:style w:type="paragraph" w:customStyle="1" w:styleId="Ref">
    <w:name w:val="Ref"/>
    <w:basedOn w:val="Normal"/>
    <w:link w:val="RefChar"/>
    <w:qFormat/>
    <w:rsid w:val="002A7B03"/>
    <w:rPr>
      <w:rFonts w:cs="Arial"/>
      <w:color w:val="44546A"/>
      <w:sz w:val="20"/>
      <w:szCs w:val="20"/>
    </w:rPr>
  </w:style>
  <w:style w:type="character" w:customStyle="1" w:styleId="RefChar">
    <w:name w:val="Ref Char"/>
    <w:basedOn w:val="DefaultParagraphFont"/>
    <w:link w:val="Ref"/>
    <w:rsid w:val="002A7B03"/>
    <w:rPr>
      <w:rFonts w:ascii="Arial" w:hAnsi="Arial" w:cs="Arial"/>
      <w:color w:val="44546A"/>
      <w:sz w:val="20"/>
      <w:szCs w:val="20"/>
      <w:lang w:val="en-GB"/>
    </w:rPr>
  </w:style>
  <w:style w:type="paragraph" w:customStyle="1" w:styleId="DOCTYPE">
    <w:name w:val="DOC_TYPE"/>
    <w:basedOn w:val="Ref"/>
    <w:link w:val="DOCTYPEChar"/>
    <w:rsid w:val="002A7B03"/>
    <w:pPr>
      <w:spacing w:after="0" w:line="360" w:lineRule="auto"/>
    </w:pPr>
    <w:rPr>
      <w:b/>
      <w:color w:val="8196A4"/>
      <w:sz w:val="44"/>
    </w:rPr>
  </w:style>
  <w:style w:type="character" w:customStyle="1" w:styleId="DOCTYPEChar">
    <w:name w:val="DOC_TYPE Char"/>
    <w:basedOn w:val="RefChar"/>
    <w:link w:val="DOCTYPE"/>
    <w:rsid w:val="002A7B03"/>
    <w:rPr>
      <w:rFonts w:ascii="Arial" w:hAnsi="Arial" w:cs="Arial"/>
      <w:b/>
      <w:color w:val="8196A4"/>
      <w:sz w:val="44"/>
      <w:szCs w:val="20"/>
      <w:lang w:val="en-GB"/>
    </w:rPr>
  </w:style>
  <w:style w:type="paragraph" w:customStyle="1" w:styleId="Heading">
    <w:name w:val="Heading"/>
    <w:basedOn w:val="Normal"/>
    <w:next w:val="Body"/>
    <w:link w:val="HeadingChar"/>
    <w:qFormat/>
    <w:rsid w:val="007433A8"/>
    <w:pPr>
      <w:spacing w:line="360" w:lineRule="auto"/>
    </w:pPr>
    <w:rPr>
      <w:rFonts w:cs="Arial"/>
      <w:b/>
      <w:color w:val="355D6D"/>
      <w:szCs w:val="24"/>
    </w:rPr>
  </w:style>
  <w:style w:type="character" w:customStyle="1" w:styleId="HeadingChar">
    <w:name w:val="Heading Char"/>
    <w:basedOn w:val="DefaultParagraphFont"/>
    <w:link w:val="Heading"/>
    <w:rsid w:val="007433A8"/>
    <w:rPr>
      <w:rFonts w:ascii="Arial" w:hAnsi="Arial" w:cs="Arial"/>
      <w:b/>
      <w:color w:val="355D6D"/>
      <w:sz w:val="24"/>
      <w:szCs w:val="24"/>
      <w:lang w:val="en-GB"/>
    </w:rPr>
  </w:style>
  <w:style w:type="paragraph" w:customStyle="1" w:styleId="Heading1">
    <w:name w:val="Heading_1"/>
    <w:basedOn w:val="Heading"/>
    <w:link w:val="Heading1Char0"/>
    <w:rsid w:val="002A7B03"/>
    <w:pPr>
      <w:numPr>
        <w:numId w:val="2"/>
      </w:numPr>
    </w:pPr>
    <w:rPr>
      <w:caps/>
      <w:sz w:val="32"/>
    </w:rPr>
  </w:style>
  <w:style w:type="character" w:customStyle="1" w:styleId="Heading1Char0">
    <w:name w:val="Heading_1 Char"/>
    <w:basedOn w:val="HeadingChar"/>
    <w:link w:val="Heading1"/>
    <w:rsid w:val="002A7B03"/>
    <w:rPr>
      <w:rFonts w:ascii="Arial" w:hAnsi="Arial" w:cs="Arial"/>
      <w:b/>
      <w:caps/>
      <w:color w:val="355D6D"/>
      <w:sz w:val="32"/>
      <w:szCs w:val="24"/>
      <w:lang w:val="en-GB"/>
    </w:rPr>
  </w:style>
  <w:style w:type="paragraph" w:customStyle="1" w:styleId="HeadingCover">
    <w:name w:val="Heading_Cover"/>
    <w:basedOn w:val="DOCTYPE"/>
    <w:link w:val="HeadingCoverChar"/>
    <w:rsid w:val="002A7B03"/>
    <w:rPr>
      <w:caps/>
      <w:color w:val="44546A" w:themeColor="text2"/>
      <w:sz w:val="28"/>
    </w:rPr>
  </w:style>
  <w:style w:type="character" w:customStyle="1" w:styleId="HeadingCoverChar">
    <w:name w:val="Heading_Cover Char"/>
    <w:basedOn w:val="DOCTYPEChar"/>
    <w:link w:val="HeadingCover"/>
    <w:rsid w:val="002A7B03"/>
    <w:rPr>
      <w:rFonts w:ascii="Arial" w:hAnsi="Arial" w:cs="Arial"/>
      <w:b/>
      <w:caps/>
      <w:color w:val="44546A" w:themeColor="text2"/>
      <w:sz w:val="28"/>
      <w:szCs w:val="20"/>
      <w:lang w:val="en-GB"/>
    </w:rPr>
  </w:style>
  <w:style w:type="paragraph" w:customStyle="1" w:styleId="Style2">
    <w:name w:val="Style2"/>
    <w:basedOn w:val="Body"/>
    <w:next w:val="Body"/>
    <w:link w:val="Style2Char"/>
    <w:rsid w:val="002A7B03"/>
    <w:pPr>
      <w:spacing w:before="240" w:after="240"/>
      <w:ind w:left="907" w:hanging="907"/>
      <w:jc w:val="left"/>
      <w:outlineLvl w:val="1"/>
    </w:pPr>
    <w:rPr>
      <w:b/>
      <w:color w:val="44546A"/>
    </w:rPr>
  </w:style>
  <w:style w:type="character" w:customStyle="1" w:styleId="Style2Char">
    <w:name w:val="Style2 Char"/>
    <w:basedOn w:val="BodyChar"/>
    <w:link w:val="Style2"/>
    <w:rsid w:val="002A7B03"/>
    <w:rPr>
      <w:rFonts w:ascii="Arial" w:hAnsi="Arial" w:cs="Arial"/>
      <w:b/>
      <w:color w:val="44546A"/>
      <w:sz w:val="24"/>
      <w:szCs w:val="24"/>
      <w:lang w:val="en-GB"/>
    </w:rPr>
  </w:style>
  <w:style w:type="paragraph" w:customStyle="1" w:styleId="Heading01">
    <w:name w:val="Heading01"/>
    <w:basedOn w:val="Style2"/>
    <w:next w:val="Body"/>
    <w:link w:val="Heading01Char"/>
    <w:rsid w:val="00A157C6"/>
    <w:pPr>
      <w:numPr>
        <w:numId w:val="3"/>
      </w:numPr>
      <w:ind w:left="357" w:hanging="357"/>
    </w:pPr>
    <w:rPr>
      <w:caps/>
      <w:color w:val="335E6E"/>
      <w:sz w:val="32"/>
    </w:rPr>
  </w:style>
  <w:style w:type="character" w:customStyle="1" w:styleId="Heading01Char">
    <w:name w:val="Heading01 Char"/>
    <w:basedOn w:val="Style2Char"/>
    <w:link w:val="Heading01"/>
    <w:rsid w:val="00A157C6"/>
    <w:rPr>
      <w:rFonts w:ascii="Arial" w:hAnsi="Arial" w:cs="Arial"/>
      <w:b/>
      <w:caps/>
      <w:color w:val="335E6E"/>
      <w:sz w:val="32"/>
      <w:szCs w:val="24"/>
      <w:lang w:val="en-GB"/>
    </w:rPr>
  </w:style>
  <w:style w:type="paragraph" w:customStyle="1" w:styleId="Heading02">
    <w:name w:val="Heading02"/>
    <w:basedOn w:val="Style2"/>
    <w:next w:val="Body"/>
    <w:link w:val="Heading02Char"/>
    <w:rsid w:val="0081543C"/>
    <w:pPr>
      <w:numPr>
        <w:ilvl w:val="1"/>
        <w:numId w:val="3"/>
      </w:numPr>
      <w:ind w:left="471" w:hanging="471"/>
    </w:pPr>
    <w:rPr>
      <w:color w:val="003249"/>
    </w:rPr>
  </w:style>
  <w:style w:type="character" w:customStyle="1" w:styleId="Heading02Char">
    <w:name w:val="Heading02 Char"/>
    <w:basedOn w:val="Style2Char"/>
    <w:link w:val="Heading02"/>
    <w:rsid w:val="0081543C"/>
    <w:rPr>
      <w:rFonts w:ascii="Arial" w:hAnsi="Arial" w:cs="Arial"/>
      <w:b/>
      <w:color w:val="003249"/>
      <w:sz w:val="24"/>
      <w:szCs w:val="24"/>
      <w:lang w:val="en-GB"/>
    </w:rPr>
  </w:style>
  <w:style w:type="paragraph" w:customStyle="1" w:styleId="Heading03">
    <w:name w:val="Heading03"/>
    <w:basedOn w:val="Style2"/>
    <w:next w:val="Body"/>
    <w:link w:val="Heading03Char"/>
    <w:rsid w:val="00A157C6"/>
    <w:pPr>
      <w:numPr>
        <w:ilvl w:val="2"/>
        <w:numId w:val="3"/>
      </w:numPr>
    </w:pPr>
    <w:rPr>
      <w:i/>
      <w:color w:val="44546A" w:themeColor="text2"/>
      <w:sz w:val="26"/>
      <w:szCs w:val="26"/>
    </w:rPr>
  </w:style>
  <w:style w:type="character" w:customStyle="1" w:styleId="Heading03Char">
    <w:name w:val="Heading03 Char"/>
    <w:basedOn w:val="Style2Char"/>
    <w:link w:val="Heading03"/>
    <w:rsid w:val="00A157C6"/>
    <w:rPr>
      <w:rFonts w:ascii="Arial" w:hAnsi="Arial" w:cs="Arial"/>
      <w:b/>
      <w:i/>
      <w:color w:val="44546A" w:themeColor="text2"/>
      <w:sz w:val="26"/>
      <w:szCs w:val="26"/>
      <w:lang w:val="en-GB"/>
    </w:rPr>
  </w:style>
  <w:style w:type="paragraph" w:customStyle="1" w:styleId="Heading04">
    <w:name w:val="Heading04"/>
    <w:basedOn w:val="Style2"/>
    <w:next w:val="Body"/>
    <w:link w:val="Heading04Char"/>
    <w:rsid w:val="00A157C6"/>
    <w:pPr>
      <w:numPr>
        <w:ilvl w:val="3"/>
        <w:numId w:val="3"/>
      </w:numPr>
      <w:ind w:left="868" w:hanging="868"/>
    </w:pPr>
    <w:rPr>
      <w:color w:val="003249"/>
    </w:rPr>
  </w:style>
  <w:style w:type="character" w:customStyle="1" w:styleId="Heading04Char">
    <w:name w:val="Heading04 Char"/>
    <w:basedOn w:val="Style2Char"/>
    <w:link w:val="Heading04"/>
    <w:rsid w:val="00A157C6"/>
    <w:rPr>
      <w:rFonts w:ascii="Arial" w:hAnsi="Arial" w:cs="Arial"/>
      <w:b/>
      <w:color w:val="003249"/>
      <w:sz w:val="24"/>
      <w:szCs w:val="24"/>
      <w:lang w:val="en-GB"/>
    </w:rPr>
  </w:style>
  <w:style w:type="paragraph" w:customStyle="1" w:styleId="Heading05">
    <w:name w:val="Heading05"/>
    <w:basedOn w:val="Style2"/>
    <w:next w:val="Body"/>
    <w:link w:val="Heading05Char"/>
    <w:rsid w:val="00A157C6"/>
    <w:pPr>
      <w:numPr>
        <w:ilvl w:val="4"/>
        <w:numId w:val="3"/>
      </w:numPr>
      <w:ind w:left="1066" w:hanging="1066"/>
    </w:pPr>
    <w:rPr>
      <w:i/>
      <w:color w:val="003249"/>
    </w:rPr>
  </w:style>
  <w:style w:type="character" w:customStyle="1" w:styleId="Heading05Char">
    <w:name w:val="Heading05 Char"/>
    <w:basedOn w:val="Style2Char"/>
    <w:link w:val="Heading05"/>
    <w:rsid w:val="00A157C6"/>
    <w:rPr>
      <w:rFonts w:ascii="Arial" w:hAnsi="Arial" w:cs="Arial"/>
      <w:b/>
      <w:i/>
      <w:color w:val="003249"/>
      <w:sz w:val="24"/>
      <w:szCs w:val="24"/>
      <w:lang w:val="en-GB"/>
    </w:rPr>
  </w:style>
  <w:style w:type="paragraph" w:styleId="HTMLAddress">
    <w:name w:val="HTML Address"/>
    <w:basedOn w:val="Normal"/>
    <w:link w:val="HTMLAddressChar"/>
    <w:semiHidden/>
    <w:unhideWhenUsed/>
    <w:rsid w:val="002A7B03"/>
    <w:pPr>
      <w:spacing w:after="0" w:line="240" w:lineRule="auto"/>
    </w:pPr>
    <w:rPr>
      <w:rFonts w:ascii="Georgia" w:eastAsia="Times New Roman" w:hAnsi="Georgia" w:cs="Times New Roman"/>
      <w:i/>
      <w:iCs/>
      <w:szCs w:val="24"/>
      <w:lang w:val="en-US"/>
    </w:rPr>
  </w:style>
  <w:style w:type="character" w:customStyle="1" w:styleId="HTMLAddressChar">
    <w:name w:val="HTML Address Char"/>
    <w:basedOn w:val="DefaultParagraphFont"/>
    <w:link w:val="HTMLAddress"/>
    <w:semiHidden/>
    <w:rsid w:val="002A7B03"/>
    <w:rPr>
      <w:rFonts w:ascii="Georgia" w:eastAsia="Times New Roman" w:hAnsi="Georgia" w:cs="Times New Roman"/>
      <w:i/>
      <w:iCs/>
      <w:sz w:val="24"/>
      <w:szCs w:val="24"/>
      <w:lang w:val="en-US"/>
    </w:rPr>
  </w:style>
  <w:style w:type="character" w:styleId="Hyperlink">
    <w:name w:val="Hyperlink"/>
    <w:basedOn w:val="DefaultParagraphFont"/>
    <w:uiPriority w:val="99"/>
    <w:unhideWhenUsed/>
    <w:rsid w:val="002A7B03"/>
    <w:rPr>
      <w:color w:val="0563C1" w:themeColor="hyperlink"/>
      <w:u w:val="single"/>
    </w:rPr>
  </w:style>
  <w:style w:type="paragraph" w:styleId="ListParagraph">
    <w:name w:val="List Paragraph"/>
    <w:aliases w:val="Numbered list,Lista viñetas,NumFig,Bullet point,Παράγραφος λίστας1,Paragrafo elenco1,Paragrafo elenco 2,lp1,Viñetas (Inicio Parrafo),Listenabsatz,Paragrafo elenco,Zerrenda-paragrafoa,Texto corrido"/>
    <w:basedOn w:val="Normal"/>
    <w:link w:val="ListParagraphChar"/>
    <w:uiPriority w:val="34"/>
    <w:qFormat/>
    <w:rsid w:val="002A7B03"/>
    <w:pPr>
      <w:ind w:left="720"/>
      <w:contextualSpacing/>
    </w:pPr>
  </w:style>
  <w:style w:type="character" w:customStyle="1" w:styleId="TOC1Char">
    <w:name w:val="TOC 1 Char"/>
    <w:basedOn w:val="DefaultParagraphFont"/>
    <w:link w:val="TOC1"/>
    <w:uiPriority w:val="39"/>
    <w:rsid w:val="002A7B03"/>
    <w:rPr>
      <w:rFonts w:ascii="Arial" w:hAnsi="Arial"/>
      <w:sz w:val="24"/>
      <w:lang w:val="en-GB"/>
    </w:rPr>
  </w:style>
  <w:style w:type="paragraph" w:customStyle="1" w:styleId="Style1">
    <w:name w:val="Style1"/>
    <w:basedOn w:val="TOC1"/>
    <w:link w:val="Style1Char"/>
    <w:rsid w:val="002A7B03"/>
    <w:rPr>
      <w:color w:val="44546A"/>
    </w:rPr>
  </w:style>
  <w:style w:type="character" w:customStyle="1" w:styleId="Style1Char">
    <w:name w:val="Style1 Char"/>
    <w:basedOn w:val="TOC1Char"/>
    <w:link w:val="Style1"/>
    <w:rsid w:val="002A7B03"/>
    <w:rPr>
      <w:rFonts w:ascii="Arial" w:hAnsi="Arial"/>
      <w:color w:val="44546A"/>
      <w:sz w:val="24"/>
      <w:lang w:val="en-GB"/>
    </w:rPr>
  </w:style>
  <w:style w:type="paragraph" w:styleId="TableofFigures">
    <w:name w:val="table of figures"/>
    <w:basedOn w:val="Normal"/>
    <w:next w:val="Normal"/>
    <w:link w:val="TableofFiguresChar"/>
    <w:uiPriority w:val="99"/>
    <w:semiHidden/>
    <w:unhideWhenUsed/>
    <w:rsid w:val="002A7B03"/>
    <w:pPr>
      <w:spacing w:after="0"/>
    </w:pPr>
  </w:style>
  <w:style w:type="character" w:customStyle="1" w:styleId="TableofFiguresChar">
    <w:name w:val="Table of Figures Char"/>
    <w:basedOn w:val="DefaultParagraphFont"/>
    <w:link w:val="TableofFigures"/>
    <w:uiPriority w:val="99"/>
    <w:semiHidden/>
    <w:rsid w:val="002A7B03"/>
    <w:rPr>
      <w:rFonts w:ascii="Arial" w:hAnsi="Arial"/>
      <w:sz w:val="24"/>
      <w:lang w:val="en-GB"/>
    </w:rPr>
  </w:style>
  <w:style w:type="paragraph" w:customStyle="1" w:styleId="TABLE">
    <w:name w:val="TABLE"/>
    <w:basedOn w:val="TableofFigures"/>
    <w:link w:val="TABLEChar"/>
    <w:rsid w:val="002A7B03"/>
    <w:pPr>
      <w:spacing w:line="240" w:lineRule="auto"/>
    </w:pPr>
    <w:rPr>
      <w:rFonts w:cs="Arial"/>
      <w:color w:val="44546A"/>
      <w:szCs w:val="24"/>
    </w:rPr>
  </w:style>
  <w:style w:type="character" w:customStyle="1" w:styleId="TABLEChar">
    <w:name w:val="TABLE Char"/>
    <w:basedOn w:val="TableofFiguresChar"/>
    <w:link w:val="TABLE"/>
    <w:rsid w:val="002A7B03"/>
    <w:rPr>
      <w:rFonts w:ascii="Arial" w:hAnsi="Arial" w:cs="Arial"/>
      <w:color w:val="44546A"/>
      <w:sz w:val="24"/>
      <w:szCs w:val="24"/>
      <w:lang w:val="en-GB"/>
    </w:rPr>
  </w:style>
  <w:style w:type="table" w:styleId="TableGrid">
    <w:name w:val="Table Grid"/>
    <w:basedOn w:val="TableNormal"/>
    <w:uiPriority w:val="39"/>
    <w:rsid w:val="002A7B03"/>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1">
    <w:name w:val="Title1"/>
    <w:basedOn w:val="Heading10"/>
    <w:link w:val="Title1Char"/>
    <w:rsid w:val="002A7B03"/>
    <w:pPr>
      <w:numPr>
        <w:numId w:val="4"/>
      </w:numPr>
    </w:pPr>
    <w:rPr>
      <w:rFonts w:ascii="Arial" w:hAnsi="Arial"/>
      <w:b/>
      <w:caps/>
      <w:color w:val="44546A" w:themeColor="text2"/>
    </w:rPr>
  </w:style>
  <w:style w:type="character" w:customStyle="1" w:styleId="Title1Char">
    <w:name w:val="Title1 Char"/>
    <w:basedOn w:val="Heading1Char"/>
    <w:link w:val="Title1"/>
    <w:rsid w:val="002A7B03"/>
    <w:rPr>
      <w:rFonts w:ascii="Arial" w:eastAsiaTheme="majorEastAsia" w:hAnsi="Arial" w:cstheme="majorBidi"/>
      <w:b/>
      <w:caps/>
      <w:color w:val="44546A" w:themeColor="text2"/>
      <w:sz w:val="32"/>
      <w:szCs w:val="32"/>
      <w:lang w:val="en-GB"/>
    </w:rPr>
  </w:style>
  <w:style w:type="paragraph" w:customStyle="1" w:styleId="Title2level">
    <w:name w:val="Title2level"/>
    <w:basedOn w:val="Title1"/>
    <w:next w:val="Normal"/>
    <w:link w:val="Title2levelChar"/>
    <w:rsid w:val="002A7B03"/>
    <w:pPr>
      <w:keepLines w:val="0"/>
      <w:numPr>
        <w:numId w:val="5"/>
      </w:numPr>
      <w:spacing w:after="240" w:line="360" w:lineRule="auto"/>
      <w:outlineLvl w:val="1"/>
    </w:pPr>
  </w:style>
  <w:style w:type="character" w:customStyle="1" w:styleId="Title2levelChar">
    <w:name w:val="Title2level Char"/>
    <w:basedOn w:val="Title1Char"/>
    <w:link w:val="Title2level"/>
    <w:rsid w:val="002A7B03"/>
    <w:rPr>
      <w:rFonts w:ascii="Arial" w:eastAsiaTheme="majorEastAsia" w:hAnsi="Arial" w:cstheme="majorBidi"/>
      <w:b/>
      <w:caps/>
      <w:color w:val="44546A" w:themeColor="text2"/>
      <w:sz w:val="32"/>
      <w:szCs w:val="32"/>
      <w:lang w:val="en-GB"/>
    </w:rPr>
  </w:style>
  <w:style w:type="paragraph" w:customStyle="1" w:styleId="Title3level">
    <w:name w:val="Title3_level"/>
    <w:basedOn w:val="Normal"/>
    <w:next w:val="Normal"/>
    <w:link w:val="Title3levelChar"/>
    <w:rsid w:val="002A7B03"/>
    <w:pPr>
      <w:framePr w:wrap="around" w:vAnchor="text" w:hAnchor="text" w:y="1"/>
      <w:numPr>
        <w:numId w:val="6"/>
      </w:numPr>
      <w:tabs>
        <w:tab w:val="left" w:pos="907"/>
      </w:tabs>
      <w:spacing w:before="240" w:after="240" w:line="240" w:lineRule="auto"/>
      <w:outlineLvl w:val="2"/>
    </w:pPr>
    <w:rPr>
      <w:b/>
      <w:color w:val="44546A" w:themeColor="text2"/>
      <w:sz w:val="26"/>
    </w:rPr>
  </w:style>
  <w:style w:type="character" w:customStyle="1" w:styleId="Title3levelChar">
    <w:name w:val="Title3_level Char"/>
    <w:basedOn w:val="DefaultParagraphFont"/>
    <w:link w:val="Title3level"/>
    <w:rsid w:val="002A7B03"/>
    <w:rPr>
      <w:rFonts w:ascii="Arial" w:hAnsi="Arial"/>
      <w:b/>
      <w:color w:val="44546A" w:themeColor="text2"/>
      <w:sz w:val="26"/>
      <w:lang w:val="en-GB"/>
    </w:rPr>
  </w:style>
  <w:style w:type="paragraph" w:styleId="TOC2">
    <w:name w:val="toc 2"/>
    <w:basedOn w:val="Normal"/>
    <w:next w:val="Normal"/>
    <w:autoRedefine/>
    <w:uiPriority w:val="39"/>
    <w:unhideWhenUsed/>
    <w:rsid w:val="00010589"/>
    <w:pPr>
      <w:tabs>
        <w:tab w:val="right" w:leader="dot" w:pos="9912"/>
      </w:tabs>
      <w:spacing w:after="0" w:line="360" w:lineRule="auto"/>
    </w:pPr>
    <w:rPr>
      <w:rFonts w:eastAsiaTheme="minorEastAsia" w:cs="Times New Roman"/>
      <w:lang w:val="en-US"/>
    </w:rPr>
  </w:style>
  <w:style w:type="paragraph" w:styleId="TOC3">
    <w:name w:val="toc 3"/>
    <w:basedOn w:val="Normal"/>
    <w:next w:val="Normal"/>
    <w:autoRedefine/>
    <w:uiPriority w:val="39"/>
    <w:unhideWhenUsed/>
    <w:rsid w:val="002A7B03"/>
    <w:pPr>
      <w:spacing w:after="100"/>
    </w:pPr>
    <w:rPr>
      <w:rFonts w:eastAsiaTheme="minorEastAsia" w:cs="Times New Roman"/>
      <w:lang w:val="en-US"/>
    </w:rPr>
  </w:style>
  <w:style w:type="paragraph" w:styleId="TOC4">
    <w:name w:val="toc 4"/>
    <w:basedOn w:val="Normal"/>
    <w:next w:val="Normal"/>
    <w:autoRedefine/>
    <w:uiPriority w:val="39"/>
    <w:unhideWhenUsed/>
    <w:rsid w:val="002A7B03"/>
    <w:pPr>
      <w:spacing w:after="100" w:line="360" w:lineRule="auto"/>
    </w:pPr>
  </w:style>
  <w:style w:type="paragraph" w:styleId="TOC5">
    <w:name w:val="toc 5"/>
    <w:basedOn w:val="Normal"/>
    <w:next w:val="Normal"/>
    <w:autoRedefine/>
    <w:uiPriority w:val="39"/>
    <w:unhideWhenUsed/>
    <w:rsid w:val="002A7B03"/>
    <w:pPr>
      <w:spacing w:after="100"/>
    </w:pPr>
  </w:style>
  <w:style w:type="paragraph" w:styleId="FootnoteText">
    <w:name w:val="footnote text"/>
    <w:basedOn w:val="Normal"/>
    <w:link w:val="FootnoteTextChar"/>
    <w:uiPriority w:val="99"/>
    <w:semiHidden/>
    <w:unhideWhenUsed/>
    <w:rsid w:val="00A95E5B"/>
    <w:pPr>
      <w:spacing w:after="0" w:line="240" w:lineRule="auto"/>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A95E5B"/>
    <w:rPr>
      <w:sz w:val="20"/>
      <w:szCs w:val="20"/>
      <w:lang w:val="en-GB"/>
    </w:rPr>
  </w:style>
  <w:style w:type="character" w:styleId="FootnoteReference">
    <w:name w:val="footnote reference"/>
    <w:basedOn w:val="DefaultParagraphFont"/>
    <w:uiPriority w:val="99"/>
    <w:unhideWhenUsed/>
    <w:rsid w:val="00A95E5B"/>
    <w:rPr>
      <w:vertAlign w:val="superscript"/>
    </w:rPr>
  </w:style>
  <w:style w:type="character" w:customStyle="1" w:styleId="ListParagraphChar">
    <w:name w:val="List Paragraph Char"/>
    <w:aliases w:val="Numbered list Char,Lista viñetas Char,NumFig Char,Bullet point Char,Παράγραφος λίστας1 Char,Paragrafo elenco1 Char,Paragrafo elenco 2 Char,lp1 Char,Viñetas (Inicio Parrafo) Char,Listenabsatz Char,Paragrafo elenco Char"/>
    <w:link w:val="ListParagraph"/>
    <w:uiPriority w:val="34"/>
    <w:qFormat/>
    <w:locked/>
    <w:rsid w:val="00A95E5B"/>
    <w:rPr>
      <w:rFonts w:ascii="Arial" w:hAnsi="Arial"/>
      <w:sz w:val="24"/>
      <w:lang w:val="en-GB"/>
    </w:rPr>
  </w:style>
  <w:style w:type="character" w:styleId="UnresolvedMention">
    <w:name w:val="Unresolved Mention"/>
    <w:basedOn w:val="DefaultParagraphFont"/>
    <w:uiPriority w:val="99"/>
    <w:semiHidden/>
    <w:unhideWhenUsed/>
    <w:rsid w:val="001420E3"/>
    <w:rPr>
      <w:color w:val="605E5C"/>
      <w:shd w:val="clear" w:color="auto" w:fill="E1DFDD"/>
    </w:rPr>
  </w:style>
  <w:style w:type="paragraph" w:styleId="Caption">
    <w:name w:val="caption"/>
    <w:basedOn w:val="Normal"/>
    <w:next w:val="Normal"/>
    <w:uiPriority w:val="35"/>
    <w:unhideWhenUsed/>
    <w:qFormat/>
    <w:rsid w:val="001727B5"/>
    <w:pPr>
      <w:spacing w:after="200" w:line="240" w:lineRule="auto"/>
    </w:pPr>
    <w:rPr>
      <w:i/>
      <w:iCs/>
      <w:color w:val="44546A" w:themeColor="text2"/>
      <w:sz w:val="18"/>
      <w:szCs w:val="18"/>
    </w:rPr>
  </w:style>
  <w:style w:type="character" w:styleId="FollowedHyperlink">
    <w:name w:val="FollowedHyperlink"/>
    <w:basedOn w:val="DefaultParagraphFont"/>
    <w:uiPriority w:val="99"/>
    <w:semiHidden/>
    <w:unhideWhenUsed/>
    <w:rsid w:val="000C474D"/>
    <w:rPr>
      <w:color w:val="954F72" w:themeColor="followedHyperlink"/>
      <w:u w:val="single"/>
    </w:rPr>
  </w:style>
  <w:style w:type="paragraph" w:styleId="BodyText">
    <w:name w:val="Body Text"/>
    <w:basedOn w:val="Normal"/>
    <w:link w:val="BodyTextChar"/>
    <w:uiPriority w:val="1"/>
    <w:qFormat/>
    <w:rsid w:val="00F11479"/>
    <w:pPr>
      <w:widowControl w:val="0"/>
      <w:kinsoku w:val="0"/>
      <w:overflowPunct w:val="0"/>
      <w:autoSpaceDE w:val="0"/>
      <w:autoSpaceDN w:val="0"/>
      <w:adjustRightInd w:val="0"/>
      <w:spacing w:after="0" w:line="240" w:lineRule="auto"/>
      <w:ind w:left="131" w:right="126"/>
      <w:jc w:val="both"/>
    </w:pPr>
    <w:rPr>
      <w:rFonts w:ascii="Times New Roman" w:eastAsiaTheme="minorEastAsia" w:hAnsi="Times New Roman" w:cs="Times New Roman"/>
      <w:szCs w:val="24"/>
      <w:lang w:eastAsia="en-GB"/>
    </w:rPr>
  </w:style>
  <w:style w:type="character" w:customStyle="1" w:styleId="BodyTextChar">
    <w:name w:val="Body Text Char"/>
    <w:basedOn w:val="DefaultParagraphFont"/>
    <w:link w:val="BodyText"/>
    <w:uiPriority w:val="1"/>
    <w:rsid w:val="00F11479"/>
    <w:rPr>
      <w:rFonts w:ascii="Times New Roman" w:eastAsiaTheme="minorEastAsia" w:hAnsi="Times New Roman" w:cs="Times New Roman"/>
      <w:sz w:val="24"/>
      <w:szCs w:val="24"/>
      <w:lang w:val="en-GB" w:eastAsia="en-GB"/>
    </w:rPr>
  </w:style>
  <w:style w:type="character" w:styleId="CommentReference">
    <w:name w:val="annotation reference"/>
    <w:basedOn w:val="DefaultParagraphFont"/>
    <w:uiPriority w:val="99"/>
    <w:semiHidden/>
    <w:unhideWhenUsed/>
    <w:rsid w:val="0021456D"/>
    <w:rPr>
      <w:sz w:val="16"/>
      <w:szCs w:val="16"/>
    </w:rPr>
  </w:style>
  <w:style w:type="paragraph" w:styleId="CommentText">
    <w:name w:val="annotation text"/>
    <w:basedOn w:val="Normal"/>
    <w:link w:val="CommentTextChar"/>
    <w:uiPriority w:val="99"/>
    <w:unhideWhenUsed/>
    <w:rsid w:val="0021456D"/>
    <w:pPr>
      <w:spacing w:line="240" w:lineRule="auto"/>
    </w:pPr>
    <w:rPr>
      <w:sz w:val="20"/>
      <w:szCs w:val="20"/>
    </w:rPr>
  </w:style>
  <w:style w:type="character" w:customStyle="1" w:styleId="CommentTextChar">
    <w:name w:val="Comment Text Char"/>
    <w:basedOn w:val="DefaultParagraphFont"/>
    <w:link w:val="CommentText"/>
    <w:uiPriority w:val="99"/>
    <w:rsid w:val="0021456D"/>
    <w:rPr>
      <w:rFonts w:ascii="Arial" w:hAnsi="Arial"/>
      <w:sz w:val="20"/>
      <w:szCs w:val="20"/>
      <w:lang w:val="en-GB"/>
    </w:rPr>
  </w:style>
  <w:style w:type="paragraph" w:styleId="CommentSubject">
    <w:name w:val="annotation subject"/>
    <w:basedOn w:val="CommentText"/>
    <w:next w:val="CommentText"/>
    <w:link w:val="CommentSubjectChar"/>
    <w:uiPriority w:val="99"/>
    <w:semiHidden/>
    <w:unhideWhenUsed/>
    <w:rsid w:val="0021456D"/>
    <w:rPr>
      <w:b/>
      <w:bCs/>
    </w:rPr>
  </w:style>
  <w:style w:type="character" w:customStyle="1" w:styleId="CommentSubjectChar">
    <w:name w:val="Comment Subject Char"/>
    <w:basedOn w:val="CommentTextChar"/>
    <w:link w:val="CommentSubject"/>
    <w:uiPriority w:val="99"/>
    <w:semiHidden/>
    <w:rsid w:val="0021456D"/>
    <w:rPr>
      <w:rFonts w:ascii="Arial" w:hAnsi="Arial"/>
      <w:b/>
      <w:bCs/>
      <w:sz w:val="20"/>
      <w:szCs w:val="20"/>
      <w:lang w:val="en-GB"/>
    </w:rPr>
  </w:style>
  <w:style w:type="paragraph" w:styleId="Revision">
    <w:name w:val="Revision"/>
    <w:hidden/>
    <w:uiPriority w:val="99"/>
    <w:semiHidden/>
    <w:rsid w:val="0021456D"/>
    <w:pPr>
      <w:spacing w:after="0" w:line="240" w:lineRule="auto"/>
    </w:pPr>
    <w:rPr>
      <w:rFonts w:ascii="Arial" w:hAnsi="Arial"/>
      <w:sz w:val="24"/>
      <w:lang w:val="en-GB"/>
    </w:rPr>
  </w:style>
  <w:style w:type="character" w:styleId="Strong">
    <w:name w:val="Strong"/>
    <w:basedOn w:val="DefaultParagraphFont"/>
    <w:uiPriority w:val="22"/>
    <w:qFormat/>
    <w:rsid w:val="00540656"/>
    <w:rPr>
      <w:b/>
      <w:bCs/>
    </w:rPr>
  </w:style>
  <w:style w:type="character" w:styleId="Emphasis">
    <w:name w:val="Emphasis"/>
    <w:basedOn w:val="DefaultParagraphFont"/>
    <w:uiPriority w:val="20"/>
    <w:qFormat/>
    <w:rsid w:val="0054065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556026">
      <w:bodyDiv w:val="1"/>
      <w:marLeft w:val="0"/>
      <w:marRight w:val="0"/>
      <w:marTop w:val="0"/>
      <w:marBottom w:val="0"/>
      <w:divBdr>
        <w:top w:val="none" w:sz="0" w:space="0" w:color="auto"/>
        <w:left w:val="none" w:sz="0" w:space="0" w:color="auto"/>
        <w:bottom w:val="none" w:sz="0" w:space="0" w:color="auto"/>
        <w:right w:val="none" w:sz="0" w:space="0" w:color="auto"/>
      </w:divBdr>
    </w:div>
    <w:div w:id="168058582">
      <w:bodyDiv w:val="1"/>
      <w:marLeft w:val="0"/>
      <w:marRight w:val="0"/>
      <w:marTop w:val="0"/>
      <w:marBottom w:val="0"/>
      <w:divBdr>
        <w:top w:val="none" w:sz="0" w:space="0" w:color="auto"/>
        <w:left w:val="none" w:sz="0" w:space="0" w:color="auto"/>
        <w:bottom w:val="none" w:sz="0" w:space="0" w:color="auto"/>
        <w:right w:val="none" w:sz="0" w:space="0" w:color="auto"/>
      </w:divBdr>
    </w:div>
    <w:div w:id="458571972">
      <w:bodyDiv w:val="1"/>
      <w:marLeft w:val="0"/>
      <w:marRight w:val="0"/>
      <w:marTop w:val="0"/>
      <w:marBottom w:val="0"/>
      <w:divBdr>
        <w:top w:val="none" w:sz="0" w:space="0" w:color="auto"/>
        <w:left w:val="none" w:sz="0" w:space="0" w:color="auto"/>
        <w:bottom w:val="none" w:sz="0" w:space="0" w:color="auto"/>
        <w:right w:val="none" w:sz="0" w:space="0" w:color="auto"/>
      </w:divBdr>
    </w:div>
    <w:div w:id="589238698">
      <w:bodyDiv w:val="1"/>
      <w:marLeft w:val="0"/>
      <w:marRight w:val="0"/>
      <w:marTop w:val="0"/>
      <w:marBottom w:val="0"/>
      <w:divBdr>
        <w:top w:val="none" w:sz="0" w:space="0" w:color="auto"/>
        <w:left w:val="none" w:sz="0" w:space="0" w:color="auto"/>
        <w:bottom w:val="none" w:sz="0" w:space="0" w:color="auto"/>
        <w:right w:val="none" w:sz="0" w:space="0" w:color="auto"/>
      </w:divBdr>
    </w:div>
    <w:div w:id="657730246">
      <w:bodyDiv w:val="1"/>
      <w:marLeft w:val="0"/>
      <w:marRight w:val="0"/>
      <w:marTop w:val="0"/>
      <w:marBottom w:val="0"/>
      <w:divBdr>
        <w:top w:val="none" w:sz="0" w:space="0" w:color="auto"/>
        <w:left w:val="none" w:sz="0" w:space="0" w:color="auto"/>
        <w:bottom w:val="none" w:sz="0" w:space="0" w:color="auto"/>
        <w:right w:val="none" w:sz="0" w:space="0" w:color="auto"/>
      </w:divBdr>
    </w:div>
    <w:div w:id="1074546492">
      <w:bodyDiv w:val="1"/>
      <w:marLeft w:val="0"/>
      <w:marRight w:val="0"/>
      <w:marTop w:val="0"/>
      <w:marBottom w:val="0"/>
      <w:divBdr>
        <w:top w:val="none" w:sz="0" w:space="0" w:color="auto"/>
        <w:left w:val="none" w:sz="0" w:space="0" w:color="auto"/>
        <w:bottom w:val="none" w:sz="0" w:space="0" w:color="auto"/>
        <w:right w:val="none" w:sz="0" w:space="0" w:color="auto"/>
      </w:divBdr>
    </w:div>
    <w:div w:id="1120297962">
      <w:bodyDiv w:val="1"/>
      <w:marLeft w:val="0"/>
      <w:marRight w:val="0"/>
      <w:marTop w:val="0"/>
      <w:marBottom w:val="0"/>
      <w:divBdr>
        <w:top w:val="none" w:sz="0" w:space="0" w:color="auto"/>
        <w:left w:val="none" w:sz="0" w:space="0" w:color="auto"/>
        <w:bottom w:val="none" w:sz="0" w:space="0" w:color="auto"/>
        <w:right w:val="none" w:sz="0" w:space="0" w:color="auto"/>
      </w:divBdr>
    </w:div>
    <w:div w:id="1521695862">
      <w:bodyDiv w:val="1"/>
      <w:marLeft w:val="0"/>
      <w:marRight w:val="0"/>
      <w:marTop w:val="0"/>
      <w:marBottom w:val="0"/>
      <w:divBdr>
        <w:top w:val="none" w:sz="0" w:space="0" w:color="auto"/>
        <w:left w:val="none" w:sz="0" w:space="0" w:color="auto"/>
        <w:bottom w:val="none" w:sz="0" w:space="0" w:color="auto"/>
        <w:right w:val="none" w:sz="0" w:space="0" w:color="auto"/>
      </w:divBdr>
    </w:div>
    <w:div w:id="1540315395">
      <w:bodyDiv w:val="1"/>
      <w:marLeft w:val="0"/>
      <w:marRight w:val="0"/>
      <w:marTop w:val="0"/>
      <w:marBottom w:val="0"/>
      <w:divBdr>
        <w:top w:val="none" w:sz="0" w:space="0" w:color="auto"/>
        <w:left w:val="none" w:sz="0" w:space="0" w:color="auto"/>
        <w:bottom w:val="none" w:sz="0" w:space="0" w:color="auto"/>
        <w:right w:val="none" w:sz="0" w:space="0" w:color="auto"/>
      </w:divBdr>
    </w:div>
    <w:div w:id="1716614516">
      <w:bodyDiv w:val="1"/>
      <w:marLeft w:val="0"/>
      <w:marRight w:val="0"/>
      <w:marTop w:val="0"/>
      <w:marBottom w:val="0"/>
      <w:divBdr>
        <w:top w:val="none" w:sz="0" w:space="0" w:color="auto"/>
        <w:left w:val="none" w:sz="0" w:space="0" w:color="auto"/>
        <w:bottom w:val="none" w:sz="0" w:space="0" w:color="auto"/>
        <w:right w:val="none" w:sz="0" w:space="0" w:color="auto"/>
      </w:divBdr>
    </w:div>
    <w:div w:id="1769423473">
      <w:bodyDiv w:val="1"/>
      <w:marLeft w:val="0"/>
      <w:marRight w:val="0"/>
      <w:marTop w:val="0"/>
      <w:marBottom w:val="0"/>
      <w:divBdr>
        <w:top w:val="none" w:sz="0" w:space="0" w:color="auto"/>
        <w:left w:val="none" w:sz="0" w:space="0" w:color="auto"/>
        <w:bottom w:val="none" w:sz="0" w:space="0" w:color="auto"/>
        <w:right w:val="none" w:sz="0" w:space="0" w:color="auto"/>
      </w:divBdr>
    </w:div>
    <w:div w:id="187927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njamin.kind1\AppData\Roaming\Microsoft\Templates\2020%20ESA%20Plain%20Docu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ESARootTAPCOName xmlns="http://schemas.microsoft.com/sharepoint/v3">Sarah Carone</ESARootTAPCOName>
    <ChangeBookCaptainAction xmlns="14806AFC-DAB2-49B0-B3AC-FE1C762D219E">&lt;span class="changeBook" style="visibility:hidden"&gt;6&lt;/span&gt;</ChangeBookCaptainAction>
    <ESARootTAPActionReference xmlns="http://schemas.microsoft.com/sharepoint/v3">Action Item Reference Number is undefined</ESARootTAPActionReference>
    <PackageComment xmlns="14806AFC-DAB2-49B0-B3AC-FE1C762D219E" xsi:nil="true"/>
    <ESARootTAPCOAddress xmlns="http://schemas.microsoft.com/sharepoint/v3">CFO-CTT</ESARootTAPCOAddress>
    <ChangeDocumentStatusAction xmlns="14806AFC-DAB2-49B0-B3AC-FE1C762D219E">&lt;span class="changeDoc" style="visibility:hidden"&gt;6&lt;/span&gt;</ChangeDocumentStatusAction>
    <ESARootBookCaptain xmlns="http://schemas.microsoft.com/sharepoint/v3">
      <UserInfo>
        <DisplayName>Sarah Carone</DisplayName>
        <AccountId>2420</AccountId>
        <AccountType/>
      </UserInfo>
    </ESARootBookCaptain>
    <ESARootTAPProgramme xmlns="http://schemas.microsoft.com/sharepoint/v3">ACCESS EL2 BASS</ESARootTAPProgramme>
    <ESARootDocumentType xmlns="http://schemas.microsoft.com/sharepoint/v3">Other</ESARootDocumentType>
    <LastPublicationDate xmlns="14806AFC-DAB2-49B0-B3AC-FE1C762D219E" xsi:nil="true"/>
    <_SourceUrl xmlns="http://schemas.microsoft.com/sharepoint/v3" xsi:nil="true"/>
    <ESARootITTNumber xmlns="http://schemas.microsoft.com/sharepoint/v3">5-50204</ESARootITTNumber>
    <ESARootTAPBudget xmlns="http://schemas.microsoft.com/sharepoint/v3">E/A903-01 - ACCESS EL2 BASS</ESARootTAPBudget>
    <xd_ProgID xmlns="http://schemas.microsoft.com/sharepoint/v3" xsi:nil="true"/>
    <ESARootTAPActivityNumber xmlns="http://schemas.microsoft.com/sharepoint/v3">1000047455</ESARootTAPActivityNumber>
    <Order xmlns="http://schemas.microsoft.com/sharepoint/v3" xsi:nil="true"/>
    <_SharedFileIndex xmlns="http://schemas.microsoft.com/sharepoint/v3" xsi:nil="true"/>
    <MetaInfo xmlns="http://schemas.microsoft.com/sharepoint/v3" xsi:nil="true"/>
    <ToBePublished xmlns="14806AFC-DAB2-49B0-B3AC-FE1C762D219E">true</ToBePublished>
    <ContentTypeId xmlns="http://schemas.microsoft.com/sharepoint/v3">0x00FC6A8014B2DAB049B3ACFE1C762D219E</ContentTypeId>
    <ESARootDocumentStatus xmlns="http://schemas.microsoft.com/sharepoint/v3">Ready for Publication</ESARootDocumentStatus>
    <Editor xmlns="http://schemas.microsoft.com/sharepoint/v3">
      <UserInfo>
        <DisplayName>Sarah Carone</DisplayName>
        <AccountId>2420</AccountId>
        <AccountType/>
      </UserInfo>
    </Editor>
  </documentManagement>
</p:properties>
</file>

<file path=customXml/item2.xml><?xml version="1.0" encoding="utf-8"?>
<ct:contentTypeSchema xmlns:ct="http://schemas.microsoft.com/office/2006/metadata/contentType" xmlns:ma="http://schemas.microsoft.com/office/2006/metadata/properties/metaAttributes" ct:_="" ma:_="" ma:contentTypeName="ITT Package" ma:contentTypeID="0x00FC6A8014B2DAB049B3ACFE1C762D219E" ma:contentTypeVersion="" ma:contentTypeDescription="" ma:contentTypeScope="" ma:versionID="f8ab5b24707758a2c46bc5be4f27ce64">
  <xsd:schema xmlns:xsd="http://www.w3.org/2001/XMLSchema" xmlns:xs="http://www.w3.org/2001/XMLSchema" xmlns:p="http://schemas.microsoft.com/office/2006/metadata/properties" xmlns:ns1="http://schemas.microsoft.com/sharepoint/v3" xmlns:ns2="14806AFC-DAB2-49B0-B3AC-FE1C762D219E" targetNamespace="http://schemas.microsoft.com/office/2006/metadata/properties" ma:root="true" ma:fieldsID="d598c49dc041fd94ccb673fd82fc98f3" ns1:_="" ns2:_="">
    <xsd:import namespace="http://schemas.microsoft.com/sharepoint/v3"/>
    <xsd:import namespace="14806AFC-DAB2-49B0-B3AC-FE1C762D219E"/>
    <xsd:element name="properties">
      <xsd:complexType>
        <xsd:sequence>
          <xsd:element name="documentManagement">
            <xsd:complexType>
              <xsd:all>
                <xsd:element ref="ns1:ContentTypeId" minOccurs="0"/>
                <xsd:element ref="ns1:_ModerationComments" minOccurs="0"/>
                <xsd:element ref="ns1:File_x0020_Type" minOccurs="0"/>
                <xsd:element ref="ns1:HTML_x0020_File_x0020_Type" minOccurs="0"/>
                <xsd:element ref="ns1:_SourceUrl" minOccurs="0"/>
                <xsd:element ref="ns1:_SharedFileIndex" minOccurs="0"/>
                <xsd:element ref="ns1:ComplianceAssetId" minOccurs="0"/>
                <xsd:element ref="ns1:TemplateUrl" minOccurs="0"/>
                <xsd:element ref="ns1:xd_ProgID" minOccurs="0"/>
                <xsd:element ref="ns1:xd_Signature" minOccurs="0"/>
                <xsd:element ref="ns1:ESARootITTNumber" minOccurs="0"/>
                <xsd:element ref="ns1:ESARootBookCaptain" minOccurs="0"/>
                <xsd:element ref="ns1:ESARootDocumentStatus" minOccurs="0"/>
                <xsd:element ref="ns1:ESARootDocumentType" minOccurs="0"/>
                <xsd:element ref="ns1:ESARootTAPActionReference" minOccurs="0"/>
                <xsd:element ref="ns1:ESARootTAPBudget" minOccurs="0"/>
                <xsd:element ref="ns1:ESARootTAPProgramme" minOccurs="0"/>
                <xsd:element ref="ns1:ESARootTAPCOName" minOccurs="0"/>
                <xsd:element ref="ns1:ESARootTAPCOAddress" minOccurs="0"/>
                <xsd:element ref="ns1:ESARootTAPActivityNumber" minOccurs="0"/>
                <xsd:element ref="ns2:ChangeDocumentStatusAction" minOccurs="0"/>
                <xsd:element ref="ns2:ChangeBookCaptainAction" minOccurs="0"/>
                <xsd:element ref="ns2:ToBePublished"/>
                <xsd:element ref="ns2:PackageComment" minOccurs="0"/>
                <xsd:element ref="ns2:LastPublicationDat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ItemChildCount" minOccurs="0"/>
                <xsd:element ref="ns1:FolderChildCount" minOccurs="0"/>
                <xsd:element ref="ns1:Restricted" minOccurs="0"/>
                <xsd:element ref="ns1:OriginatorId" minOccurs="0"/>
                <xsd:element ref="ns1:NoExecute" minOccurs="0"/>
                <xsd:element ref="ns1:ContentVersion" minOccurs="0"/>
                <xsd:element ref="ns1:_ComplianceFlags" minOccurs="0"/>
                <xsd:element ref="ns1:_ComplianceTag" minOccurs="0"/>
                <xsd:element ref="ns1:_ComplianceTagWrittenTime" minOccurs="0"/>
                <xsd:element ref="ns1:_ComplianceTagUserId" minOccurs="0"/>
                <xsd:element ref="ns1:BSN" minOccurs="0"/>
                <xsd:element ref="ns1:_ListSchemaVersion" minOccurs="0"/>
                <xsd:element ref="ns1:_Dirty" minOccurs="0"/>
                <xsd:element ref="ns1:_Parsable" minOccurs="0"/>
                <xsd:element ref="ns1:_StubFile" minOccurs="0"/>
                <xsd:element ref="ns1:AccessPolicy" minOccurs="0"/>
                <xsd:element ref="ns1:_VirusStatus" minOccurs="0"/>
                <xsd:element ref="ns1:_VirusVendorID" minOccurs="0"/>
                <xsd:element ref="ns1:_VirusInfo" minOccurs="0"/>
                <xsd:element ref="ns1:_CommentFlags" minOccurs="0"/>
                <xsd:element ref="ns1:_CommentCount" minOccurs="0"/>
                <xsd:element ref="ns1:_LikeCount" minOccurs="0"/>
                <xsd:element ref="ns1:AppAuthor" minOccurs="0"/>
                <xsd:element ref="ns1:AppEditor" minOccurs="0"/>
                <xsd:element ref="ns1:SMTotalSize" minOccurs="0"/>
                <xsd:element ref="ns1:SMLastModifiedDate" minOccurs="0"/>
                <xsd:element ref="ns1:SMTotalFileStreamSize" minOccurs="0"/>
                <xsd:element ref="ns1:SMTotalFileCount"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ParentUniqueId" minOccurs="0"/>
                <xsd:element ref="ns1:Stream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ntentTypeId" ma:index="0" nillable="true" ma:displayName="Content Type ID" ma:hidden="true" ma:internalName="ContentTypeId" ma:readOnly="true">
      <xsd:simpleType>
        <xsd:restriction base="dms:Unknown"/>
      </xsd:simpleType>
    </xsd:element>
    <xsd:element name="_ModerationComments" ma:index="1" nillable="true" ma:displayName="Approver Comments" ma:hidden="true" ma:internalName="_ModerationComments" ma:readOnly="true">
      <xsd:simpleType>
        <xsd:restriction base="dms:Note"/>
      </xsd:simpleType>
    </xsd:element>
    <xsd:element name="File_x0020_Type" ma:index="5" nillable="true" ma:displayName="File Type" ma:hidden="true" ma:internalName="File_x0020_Type" ma:readOnly="true">
      <xsd:simpleType>
        <xsd:restriction base="dms:Text"/>
      </xsd:simpleType>
    </xsd:element>
    <xsd:element name="HTML_x0020_File_x0020_Type" ma:index="6" nillable="true" ma:displayName="HTML File Type" ma:hidden="true" ma:internalName="HTML_x0020_File_x0020_Type" ma:readOnly="true">
      <xsd:simpleType>
        <xsd:restriction base="dms:Text"/>
      </xsd:simpleType>
    </xsd:element>
    <xsd:element name="_SourceUrl" ma:index="7" nillable="true" ma:displayName="Source URL" ma:hidden="true" ma:internalName="_SourceUrl">
      <xsd:simpleType>
        <xsd:restriction base="dms:Text"/>
      </xsd:simpleType>
    </xsd:element>
    <xsd:element name="_SharedFileIndex" ma:index="8" nillable="true" ma:displayName="Shared File Index" ma:hidden="true" ma:internalName="_SharedFileIndex">
      <xsd:simpleType>
        <xsd:restriction base="dms:Text"/>
      </xsd:simpleType>
    </xsd:element>
    <xsd:element name="ComplianceAssetId" ma:index="9" nillable="true" ma:displayName="Compliance Asset Id" ma:hidden="true" ma:internalName="ComplianceAssetId" ma:readOnly="true">
      <xsd:simpleType>
        <xsd:restriction base="dms:Text"/>
      </xsd:simpleType>
    </xsd:element>
    <xsd:element name="TemplateUrl" ma:index="11" nillable="true" ma:displayName="Template Link" ma:hidden="true" ma:internalName="TemplateUrl">
      <xsd:simpleType>
        <xsd:restriction base="dms:Text"/>
      </xsd:simpleType>
    </xsd:element>
    <xsd:element name="xd_ProgID" ma:index="12" nillable="true" ma:displayName="HTML File Link" ma:hidden="true" ma:internalName="xd_ProgID">
      <xsd:simpleType>
        <xsd:restriction base="dms:Text"/>
      </xsd:simpleType>
    </xsd:element>
    <xsd:element name="xd_Signature" ma:index="13" nillable="true" ma:displayName="Is Signed" ma:hidden="true" ma:internalName="xd_Signature" ma:readOnly="true">
      <xsd:simpleType>
        <xsd:restriction base="dms:Boolean"/>
      </xsd:simpleType>
    </xsd:element>
    <xsd:element name="ESARootITTNumber" ma:index="14" nillable="true" ma:displayName="ITTNumber" ma:internalName="ESARootITTNumber">
      <xsd:simpleType>
        <xsd:restriction base="dms:Text"/>
      </xsd:simpleType>
    </xsd:element>
    <xsd:element name="ESARootBookCaptain" ma:index="15" nillable="true" ma:displayName="Book Captain" ma:internalName="ESARootBookCaptai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SARootDocumentStatus" ma:index="16" nillable="true" ma:displayName="Document Status" ma:internalName="ESARootDocumentStatus" ma:readOnly="true">
      <xsd:simpleType>
        <xsd:restriction base="dms:Text"/>
      </xsd:simpleType>
    </xsd:element>
    <xsd:element name="ESARootDocumentType" ma:index="17" nillable="true" ma:displayName="Document Type" ma:default="Letter of Invitation" ma:internalName="ESARootDocumentType">
      <xsd:simpleType>
        <xsd:restriction base="dms:Choice">
          <xsd:enumeration value="Letter of Invitation"/>
          <xsd:enumeration value="Statement of Work"/>
          <xsd:enumeration value="Contract Conditions"/>
          <xsd:enumeration value="Tender Conditions"/>
          <xsd:enumeration value="ECOS"/>
          <xsd:enumeration value="Other"/>
        </xsd:restriction>
      </xsd:simpleType>
    </xsd:element>
    <xsd:element name="ESARootTAPActionReference" ma:index="18" nillable="true" ma:displayName="Action Item Reference Number" ma:internalName="ESARootTAPActionReference">
      <xsd:simpleType>
        <xsd:restriction base="dms:Text"/>
      </xsd:simpleType>
    </xsd:element>
    <xsd:element name="ESARootTAPBudget" ma:index="19" nillable="true" ma:displayName="Budget" ma:internalName="ESARootTAPBudget">
      <xsd:simpleType>
        <xsd:restriction base="dms:Text"/>
      </xsd:simpleType>
    </xsd:element>
    <xsd:element name="ESARootTAPProgramme" ma:index="20" nillable="true" ma:displayName="Programme" ma:internalName="ESARootTAPProgramme">
      <xsd:simpleType>
        <xsd:restriction base="dms:Text"/>
      </xsd:simpleType>
    </xsd:element>
    <xsd:element name="ESARootTAPCOName" ma:index="21" nillable="true" ma:displayName="Contract Officer Name" ma:internalName="ESARootTAPCOName">
      <xsd:simpleType>
        <xsd:restriction base="dms:Text"/>
      </xsd:simpleType>
    </xsd:element>
    <xsd:element name="ESARootTAPCOAddress" ma:index="22" nillable="true" ma:displayName="Contract Officer Address Code" ma:internalName="ESARootTAPCOAddress">
      <xsd:simpleType>
        <xsd:restriction base="dms:Text"/>
      </xsd:simpleType>
    </xsd:element>
    <xsd:element name="ESARootTAPActivityNumber" ma:index="23" nillable="true" ma:displayName="Activity Number" ma:internalName="ESARootTAPActivityNumber">
      <xsd:simpleType>
        <xsd:restriction base="dms:Text"/>
      </xsd:simpleType>
    </xsd:element>
    <xsd:element name="ID" ma:index="29" nillable="true" ma:displayName="ID" ma:internalName="ID" ma:readOnly="true">
      <xsd:simpleType>
        <xsd:restriction base="dms:Unknown"/>
      </xsd:simpleType>
    </xsd:element>
    <xsd:element name="Author" ma:index="32"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34"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35" nillable="true" ma:displayName="Has Copy Destinations" ma:hidden="true" ma:internalName="_HasCopyDestinations" ma:readOnly="true">
      <xsd:simpleType>
        <xsd:restriction base="dms:Boolean"/>
      </xsd:simpleType>
    </xsd:element>
    <xsd:element name="_CopySource" ma:index="36" nillable="true" ma:displayName="Copy Source" ma:internalName="_CopySource" ma:readOnly="true">
      <xsd:simpleType>
        <xsd:restriction base="dms:Text"/>
      </xsd:simpleType>
    </xsd:element>
    <xsd:element name="_ModerationStatus" ma:index="37" nillable="true" ma:displayName="Approval Status" ma:default="0" ma:hidden="true" ma:internalName="_ModerationStatus" ma:readOnly="true">
      <xsd:simpleType>
        <xsd:restriction base="dms:Unknown"/>
      </xsd:simpleType>
    </xsd:element>
    <xsd:element name="FileRef" ma:index="38" nillable="true" ma:displayName="URL Path" ma:hidden="true" ma:list="Docs" ma:internalName="FileRef" ma:readOnly="true" ma:showField="FullUrl">
      <xsd:simpleType>
        <xsd:restriction base="dms:Lookup"/>
      </xsd:simpleType>
    </xsd:element>
    <xsd:element name="FileDirRef" ma:index="39" nillable="true" ma:displayName="Path" ma:hidden="true" ma:list="Docs" ma:internalName="FileDirRef" ma:readOnly="true" ma:showField="DirName">
      <xsd:simpleType>
        <xsd:restriction base="dms:Lookup"/>
      </xsd:simpleType>
    </xsd:element>
    <xsd:element name="Last_x0020_Modified" ma:index="40" nillable="true" ma:displayName="Modified" ma:format="TRUE" ma:hidden="true" ma:list="Docs" ma:internalName="Last_x0020_Modified" ma:readOnly="true" ma:showField="TimeLastModified">
      <xsd:simpleType>
        <xsd:restriction base="dms:Lookup"/>
      </xsd:simpleType>
    </xsd:element>
    <xsd:element name="Created_x0020_Date" ma:index="41" nillable="true" ma:displayName="Created" ma:format="TRUE" ma:hidden="true" ma:list="Docs" ma:internalName="Created_x0020_Date" ma:readOnly="true" ma:showField="TimeCreated">
      <xsd:simpleType>
        <xsd:restriction base="dms:Lookup"/>
      </xsd:simpleType>
    </xsd:element>
    <xsd:element name="File_x0020_Size" ma:index="42" nillable="true" ma:displayName="File Size" ma:format="TRUE" ma:hidden="true" ma:list="Docs" ma:internalName="File_x0020_Size" ma:readOnly="true" ma:showField="SizeInKB">
      <xsd:simpleType>
        <xsd:restriction base="dms:Lookup"/>
      </xsd:simpleType>
    </xsd:element>
    <xsd:element name="FSObjType" ma:index="43" nillable="true" ma:displayName="Item Type" ma:hidden="true" ma:list="Docs" ma:internalName="FSObjType" ma:readOnly="true" ma:showField="FSType">
      <xsd:simpleType>
        <xsd:restriction base="dms:Lookup"/>
      </xsd:simpleType>
    </xsd:element>
    <xsd:element name="SortBehavior" ma:index="44" nillable="true" ma:displayName="Sort Type" ma:hidden="true" ma:list="Docs" ma:internalName="SortBehavior" ma:readOnly="true" ma:showField="SortBehavior">
      <xsd:simpleType>
        <xsd:restriction base="dms:Lookup"/>
      </xsd:simpleType>
    </xsd:element>
    <xsd:element name="CheckedOutUserId" ma:index="46" nillable="true" ma:displayName="ID of the User who has the item Checked Out" ma:hidden="true" ma:list="Docs" ma:internalName="CheckedOutUserId" ma:readOnly="true" ma:showField="CheckoutUserId">
      <xsd:simpleType>
        <xsd:restriction base="dms:Lookup"/>
      </xsd:simpleType>
    </xsd:element>
    <xsd:element name="IsCheckedoutToLocal" ma:index="47" nillable="true" ma:displayName="Is Checked out to local" ma:hidden="true" ma:list="Docs" ma:internalName="IsCheckedoutToLocal" ma:readOnly="true" ma:showField="IsCheckoutToLocal">
      <xsd:simpleType>
        <xsd:restriction base="dms:Lookup"/>
      </xsd:simpleType>
    </xsd:element>
    <xsd:element name="CheckoutUser" ma:index="48"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9" nillable="true" ma:displayName="Unique Id" ma:hidden="true" ma:list="Docs" ma:internalName="UniqueId" ma:readOnly="true" ma:showField="UniqueId">
      <xsd:simpleType>
        <xsd:restriction base="dms:Lookup"/>
      </xsd:simpleType>
    </xsd:element>
    <xsd:element name="SyncClientId" ma:index="50" nillable="true" ma:displayName="Client Id" ma:hidden="true" ma:list="Docs" ma:internalName="SyncClientId" ma:readOnly="true" ma:showField="SyncClientId">
      <xsd:simpleType>
        <xsd:restriction base="dms:Lookup"/>
      </xsd:simpleType>
    </xsd:element>
    <xsd:element name="ProgId" ma:index="51" nillable="true" ma:displayName="ProgId" ma:hidden="true" ma:list="Docs" ma:internalName="ProgId" ma:readOnly="true" ma:showField="ProgId">
      <xsd:simpleType>
        <xsd:restriction base="dms:Lookup"/>
      </xsd:simpleType>
    </xsd:element>
    <xsd:element name="ScopeId" ma:index="52" nillable="true" ma:displayName="ScopeId" ma:hidden="true" ma:list="Docs" ma:internalName="ScopeId" ma:readOnly="true" ma:showField="ScopeId">
      <xsd:simpleType>
        <xsd:restriction base="dms:Lookup"/>
      </xsd:simpleType>
    </xsd:element>
    <xsd:element name="VirusStatus" ma:index="53" nillable="true" ma:displayName="Virus Status" ma:format="TRUE" ma:hidden="true" ma:list="Docs" ma:internalName="VirusStatus" ma:readOnly="true" ma:showField="Size">
      <xsd:simpleType>
        <xsd:restriction base="dms:Lookup"/>
      </xsd:simpleType>
    </xsd:element>
    <xsd:element name="CheckedOutTitle" ma:index="54" nillable="true" ma:displayName="Checked Out To" ma:format="TRUE" ma:hidden="true" ma:list="Docs" ma:internalName="CheckedOutTitle" ma:readOnly="true" ma:showField="CheckedOutTitle">
      <xsd:simpleType>
        <xsd:restriction base="dms:Lookup"/>
      </xsd:simpleType>
    </xsd:element>
    <xsd:element name="_CheckinComment" ma:index="55" nillable="true" ma:displayName="Check In Comment" ma:format="TRUE" ma:list="Docs" ma:internalName="_CheckinComment" ma:readOnly="true" ma:showField="CheckinComment">
      <xsd:simpleType>
        <xsd:restriction base="dms:Lookup"/>
      </xsd:simpleType>
    </xsd:element>
    <xsd:element name="MetaInfo" ma:index="68" nillable="true" ma:displayName="Property Bag" ma:hidden="true" ma:list="Docs" ma:internalName="MetaInfo" ma:showField="MetaInfo">
      <xsd:simpleType>
        <xsd:restriction base="dms:Lookup"/>
      </xsd:simpleType>
    </xsd:element>
    <xsd:element name="_Level" ma:index="69" nillable="true" ma:displayName="Level" ma:hidden="true" ma:internalName="_Level" ma:readOnly="true">
      <xsd:simpleType>
        <xsd:restriction base="dms:Unknown"/>
      </xsd:simpleType>
    </xsd:element>
    <xsd:element name="_IsCurrentVersion" ma:index="70" nillable="true" ma:displayName="Is Current Version" ma:hidden="true" ma:internalName="_IsCurrentVersion" ma:readOnly="true">
      <xsd:simpleType>
        <xsd:restriction base="dms:Boolean"/>
      </xsd:simpleType>
    </xsd:element>
    <xsd:element name="ItemChildCount" ma:index="71" nillable="true" ma:displayName="Item Child Count" ma:hidden="true" ma:list="Docs" ma:internalName="ItemChildCount" ma:readOnly="true" ma:showField="ItemChildCount">
      <xsd:simpleType>
        <xsd:restriction base="dms:Lookup"/>
      </xsd:simpleType>
    </xsd:element>
    <xsd:element name="FolderChildCount" ma:index="72" nillable="true" ma:displayName="Folder Child Count" ma:hidden="true" ma:list="Docs" ma:internalName="FolderChildCount" ma:readOnly="true" ma:showField="FolderChildCount">
      <xsd:simpleType>
        <xsd:restriction base="dms:Lookup"/>
      </xsd:simpleType>
    </xsd:element>
    <xsd:element name="Restricted" ma:index="73" nillable="true" ma:displayName="Restricted" ma:hidden="true" ma:list="Docs" ma:internalName="Restricted" ma:readOnly="true" ma:showField="Restricted">
      <xsd:simpleType>
        <xsd:restriction base="dms:Lookup"/>
      </xsd:simpleType>
    </xsd:element>
    <xsd:element name="OriginatorId" ma:index="74" nillable="true" ma:displayName="Originator Id" ma:hidden="true" ma:list="Docs" ma:internalName="OriginatorId" ma:readOnly="true" ma:showField="OriginatorId">
      <xsd:simpleType>
        <xsd:restriction base="dms:Lookup"/>
      </xsd:simpleType>
    </xsd:element>
    <xsd:element name="NoExecute" ma:index="75" nillable="true" ma:displayName="NoExecute" ma:hidden="true" ma:list="Docs" ma:internalName="NoExecute" ma:readOnly="true" ma:showField="DocFlags">
      <xsd:simpleType>
        <xsd:restriction base="dms:Lookup"/>
      </xsd:simpleType>
    </xsd:element>
    <xsd:element name="ContentVersion" ma:index="76" nillable="true" ma:displayName="Content Version" ma:hidden="true" ma:list="Docs" ma:internalName="ContentVersion" ma:readOnly="true" ma:showField="ContentVersion">
      <xsd:simpleType>
        <xsd:restriction base="dms:Lookup"/>
      </xsd:simpleType>
    </xsd:element>
    <xsd:element name="_ComplianceFlags" ma:index="77" nillable="true" ma:displayName="Label setting" ma:hidden="true" ma:list="Docs" ma:internalName="_ComplianceFlags" ma:readOnly="true" ma:showField="ComplianceFlags">
      <xsd:simpleType>
        <xsd:restriction base="dms:Lookup"/>
      </xsd:simpleType>
    </xsd:element>
    <xsd:element name="_ComplianceTag" ma:index="78" nillable="true" ma:displayName="Labels" ma:hidden="true" ma:list="Docs" ma:internalName="_ComplianceTag" ma:readOnly="true" ma:showField="ComplianceTag">
      <xsd:simpleType>
        <xsd:restriction base="dms:Lookup"/>
      </xsd:simpleType>
    </xsd:element>
    <xsd:element name="_ComplianceTagWrittenTime" ma:index="79" nillable="true" ma:displayName="Label Applied" ma:hidden="true" ma:list="Docs" ma:internalName="_ComplianceTagWrittenTime" ma:readOnly="true" ma:showField="ComplianceTagWrittenTime">
      <xsd:simpleType>
        <xsd:restriction base="dms:Lookup"/>
      </xsd:simpleType>
    </xsd:element>
    <xsd:element name="_ComplianceTagUserId" ma:index="80" nillable="true" ma:displayName="Label applied by" ma:hidden="true" ma:list="Docs" ma:internalName="_ComplianceTagUserId" ma:readOnly="true" ma:showField="ComplianceTagUserId">
      <xsd:simpleType>
        <xsd:restriction base="dms:Lookup"/>
      </xsd:simpleType>
    </xsd:element>
    <xsd:element name="BSN" ma:index="82" nillable="true" ma:displayName="BLOB Sequence Number" ma:hidden="true" ma:list="Docs" ma:internalName="BSN" ma:readOnly="true" ma:showField="BSN">
      <xsd:simpleType>
        <xsd:restriction base="dms:Lookup"/>
      </xsd:simpleType>
    </xsd:element>
    <xsd:element name="_ListSchemaVersion" ma:index="83" nillable="true" ma:displayName="List Schema Version" ma:hidden="true" ma:list="Docs" ma:internalName="_ListSchemaVersion" ma:readOnly="true" ma:showField="ListSchemaVersion">
      <xsd:simpleType>
        <xsd:restriction base="dms:Lookup"/>
      </xsd:simpleType>
    </xsd:element>
    <xsd:element name="_Dirty" ma:index="84" nillable="true" ma:displayName="Dirty" ma:hidden="true" ma:list="Docs" ma:internalName="_Dirty" ma:readOnly="true" ma:showField="Dirty">
      <xsd:simpleType>
        <xsd:restriction base="dms:Lookup"/>
      </xsd:simpleType>
    </xsd:element>
    <xsd:element name="_Parsable" ma:index="85" nillable="true" ma:displayName="Parsable" ma:hidden="true" ma:list="Docs" ma:internalName="_Parsable" ma:readOnly="true" ma:showField="DocFlags">
      <xsd:simpleType>
        <xsd:restriction base="dms:Lookup"/>
      </xsd:simpleType>
    </xsd:element>
    <xsd:element name="_StubFile" ma:index="86" nillable="true" ma:displayName="StubFile" ma:hidden="true" ma:list="Docs" ma:internalName="_StubFile" ma:readOnly="true" ma:showField="DocFlags">
      <xsd:simpleType>
        <xsd:restriction base="dms:Lookup"/>
      </xsd:simpleType>
    </xsd:element>
    <xsd:element name="AccessPolicy" ma:index="87" nillable="true" ma:displayName="Access Policy" ma:hidden="true" ma:list="Docs" ma:internalName="AccessPolicy" ma:readOnly="true" ma:showField="AccessPolicy">
      <xsd:simpleType>
        <xsd:restriction base="dms:Lookup"/>
      </xsd:simpleType>
    </xsd:element>
    <xsd:element name="_VirusStatus" ma:index="88" nillable="true" ma:displayName="VirusStatus" ma:hidden="true" ma:list="Docs" ma:internalName="_VirusStatus" ma:readOnly="true" ma:showField="VirusStatus">
      <xsd:simpleType>
        <xsd:restriction base="dms:Lookup"/>
      </xsd:simpleType>
    </xsd:element>
    <xsd:element name="_VirusVendorID" ma:index="89" nillable="true" ma:displayName="VirusVendorID" ma:hidden="true" ma:list="Docs" ma:internalName="_VirusVendorID" ma:readOnly="true" ma:showField="VirusVendorID">
      <xsd:simpleType>
        <xsd:restriction base="dms:Lookup"/>
      </xsd:simpleType>
    </xsd:element>
    <xsd:element name="_VirusInfo" ma:index="90" nillable="true" ma:displayName="VirusInfo" ma:hidden="true" ma:list="Docs" ma:internalName="_VirusInfo" ma:readOnly="true" ma:showField="VirusInfo">
      <xsd:simpleType>
        <xsd:restriction base="dms:Lookup"/>
      </xsd:simpleType>
    </xsd:element>
    <xsd:element name="_CommentFlags" ma:index="91" nillable="true" ma:displayName="Comment settings" ma:hidden="true" ma:list="Docs" ma:internalName="_CommentFlags" ma:readOnly="true" ma:showField="CommentFlags">
      <xsd:simpleType>
        <xsd:restriction base="dms:Lookup"/>
      </xsd:simpleType>
    </xsd:element>
    <xsd:element name="_CommentCount" ma:index="92" nillable="true" ma:displayName="Comment count" ma:hidden="true" ma:list="Docs" ma:internalName="_CommentCount" ma:readOnly="true" ma:showField="CommentCount">
      <xsd:simpleType>
        <xsd:restriction base="dms:Lookup"/>
      </xsd:simpleType>
    </xsd:element>
    <xsd:element name="_LikeCount" ma:index="93" nillable="true" ma:displayName="Like count" ma:hidden="true" ma:list="Docs" ma:internalName="_LikeCount" ma:readOnly="true" ma:showField="LikeCount">
      <xsd:simpleType>
        <xsd:restriction base="dms:Lookup"/>
      </xsd:simpleType>
    </xsd:element>
    <xsd:element name="AppAuthor" ma:index="94" nillable="true" ma:displayName="App Created By" ma:list="AppPrincipals" ma:internalName="AppAuthor" ma:readOnly="true" ma:showField="Title">
      <xsd:simpleType>
        <xsd:restriction base="dms:Lookup"/>
      </xsd:simpleType>
    </xsd:element>
    <xsd:element name="AppEditor" ma:index="95" nillable="true" ma:displayName="App Modified By" ma:list="AppPrincipals" ma:internalName="AppEditor" ma:readOnly="true" ma:showField="Title">
      <xsd:simpleType>
        <xsd:restriction base="dms:Lookup"/>
      </xsd:simpleType>
    </xsd:element>
    <xsd:element name="SMTotalSize" ma:index="96" nillable="true" ma:displayName="Total Size" ma:hidden="true" ma:list="Docs" ma:internalName="SMTotalSize" ma:readOnly="true" ma:showField="SMTotalSize">
      <xsd:simpleType>
        <xsd:restriction base="dms:Lookup"/>
      </xsd:simpleType>
    </xsd:element>
    <xsd:element name="SMLastModifiedDate" ma:index="97" nillable="true" ma:displayName="Last Modified Date" ma:hidden="true" ma:list="Docs" ma:internalName="SMLastModifiedDate" ma:readOnly="true" ma:showField="SMLastModifiedDate">
      <xsd:simpleType>
        <xsd:restriction base="dms:Lookup"/>
      </xsd:simpleType>
    </xsd:element>
    <xsd:element name="SMTotalFileStreamSize" ma:index="98" nillable="true" ma:displayName="Total File Stream Size" ma:hidden="true" ma:list="Docs" ma:internalName="SMTotalFileStreamSize" ma:readOnly="true" ma:showField="SMTotalFileStreamSize">
      <xsd:simpleType>
        <xsd:restriction base="dms:Lookup"/>
      </xsd:simpleType>
    </xsd:element>
    <xsd:element name="SMTotalFileCount" ma:index="99" nillable="true" ma:displayName="Total File Count" ma:hidden="true" ma:list="Docs" ma:internalName="SMTotalFileCount" ma:readOnly="true" ma:showField="SMTotalFileCount">
      <xsd:simpleType>
        <xsd:restriction base="dms:Lookup"/>
      </xsd:simpleType>
    </xsd:element>
    <xsd:element name="owshiddenversion" ma:index="103" nillable="true" ma:displayName="owshiddenversion" ma:hidden="true" ma:internalName="owshiddenversion" ma:readOnly="true">
      <xsd:simpleType>
        <xsd:restriction base="dms:Unknown"/>
      </xsd:simpleType>
    </xsd:element>
    <xsd:element name="_UIVersion" ma:index="104" nillable="true" ma:displayName="UI Version" ma:hidden="true" ma:internalName="_UIVersion" ma:readOnly="true">
      <xsd:simpleType>
        <xsd:restriction base="dms:Unknown"/>
      </xsd:simpleType>
    </xsd:element>
    <xsd:element name="_UIVersionString" ma:index="105" nillable="true" ma:displayName="Version" ma:internalName="_UIVersionString" ma:readOnly="true">
      <xsd:simpleType>
        <xsd:restriction base="dms:Text"/>
      </xsd:simpleType>
    </xsd:element>
    <xsd:element name="InstanceID" ma:index="106" nillable="true" ma:displayName="Instance ID" ma:hidden="true" ma:internalName="InstanceID" ma:readOnly="true">
      <xsd:simpleType>
        <xsd:restriction base="dms:Unknown"/>
      </xsd:simpleType>
    </xsd:element>
    <xsd:element name="Order" ma:index="107" nillable="true" ma:displayName="Order" ma:hidden="true" ma:internalName="Order">
      <xsd:simpleType>
        <xsd:restriction base="dms:Number"/>
      </xsd:simpleType>
    </xsd:element>
    <xsd:element name="GUID" ma:index="108" nillable="true" ma:displayName="GUID" ma:hidden="true" ma:internalName="GUID" ma:readOnly="true">
      <xsd:simpleType>
        <xsd:restriction base="dms:Unknown"/>
      </xsd:simpleType>
    </xsd:element>
    <xsd:element name="WorkflowVersion" ma:index="109" nillable="true" ma:displayName="Workflow Version" ma:hidden="true" ma:internalName="WorkflowVersion" ma:readOnly="true">
      <xsd:simpleType>
        <xsd:restriction base="dms:Unknown"/>
      </xsd:simpleType>
    </xsd:element>
    <xsd:element name="WorkflowInstanceID" ma:index="110" nillable="true" ma:displayName="Workflow Instance ID" ma:hidden="true" ma:internalName="WorkflowInstanceID" ma:readOnly="true">
      <xsd:simpleType>
        <xsd:restriction base="dms:Unknown"/>
      </xsd:simpleType>
    </xsd:element>
    <xsd:element name="ParentVersionString" ma:index="111" nillable="true" ma:displayName="Source Version (Converted Document)" ma:hidden="true" ma:list="Docs" ma:internalName="ParentVersionString" ma:readOnly="true" ma:showField="ParentVersionString">
      <xsd:simpleType>
        <xsd:restriction base="dms:Lookup"/>
      </xsd:simpleType>
    </xsd:element>
    <xsd:element name="ParentLeafName" ma:index="112" nillable="true" ma:displayName="Source Name (Converted Document)" ma:hidden="true" ma:list="Docs" ma:internalName="ParentLeafName" ma:readOnly="true" ma:showField="ParentLeafName">
      <xsd:simpleType>
        <xsd:restriction base="dms:Lookup"/>
      </xsd:simpleType>
    </xsd:element>
    <xsd:element name="DocConcurrencyNumber" ma:index="113" nillable="true" ma:displayName="Document Concurrency Number" ma:hidden="true" ma:list="Docs" ma:internalName="DocConcurrencyNumber" ma:readOnly="true" ma:showField="DocConcurrencyNumber">
      <xsd:simpleType>
        <xsd:restriction base="dms:Lookup"/>
      </xsd:simpleType>
    </xsd:element>
    <xsd:element name="ParentUniqueId" ma:index="114" nillable="true" ma:displayName="Document Parent Identifier" ma:hidden="true" ma:list="Docs" ma:internalName="ParentUniqueId" ma:readOnly="true" ma:showField="ParentUniqueId">
      <xsd:simpleType>
        <xsd:restriction base="dms:Lookup"/>
      </xsd:simpleType>
    </xsd:element>
    <xsd:element name="StreamHash" ma:index="115" nillable="true" ma:displayName="Document Stream Hash" ma:hidden="true" ma:list="Docs" ma:internalName="StreamHash" ma:readOnly="true" ma:showField="StreamHash">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14806AFC-DAB2-49B0-B3AC-FE1C762D219E" elementFormDefault="qualified">
    <xsd:import namespace="http://schemas.microsoft.com/office/2006/documentManagement/types"/>
    <xsd:import namespace="http://schemas.microsoft.com/office/infopath/2007/PartnerControls"/>
    <xsd:element name="ChangeDocumentStatusAction" ma:index="24" nillable="true" ma:displayName="Change Document Status" ma:internalName="ChangeDocumentStatusAction" ma:readOnly="false">
      <xsd:simpleType>
        <xsd:restriction base="dms:Note">
          <xsd:maxLength value="255"/>
        </xsd:restriction>
      </xsd:simpleType>
    </xsd:element>
    <xsd:element name="ChangeBookCaptainAction" ma:index="25" nillable="true" ma:displayName="Change Book Captain" ma:internalName="ChangeBookCaptainAction" ma:readOnly="false">
      <xsd:simpleType>
        <xsd:restriction base="dms:Note">
          <xsd:maxLength value="255"/>
        </xsd:restriction>
      </xsd:simpleType>
    </xsd:element>
    <xsd:element name="ToBePublished" ma:index="26" ma:displayName="To Be Published" ma:default="0" ma:internalName="ToBePublished" ma:readOnly="false">
      <xsd:simpleType>
        <xsd:restriction base="dms:Boolean"/>
      </xsd:simpleType>
    </xsd:element>
    <xsd:element name="PackageComment" ma:index="27" nillable="true" ma:displayName="Comment" ma:internalName="PackageComment">
      <xsd:simpleType>
        <xsd:restriction base="dms:Text"/>
      </xsd:simpleType>
    </xsd:element>
    <xsd:element name="LastPublicationDate" ma:index="28" nillable="true" ma:displayName="Last Publication Date" ma:hidden="true" ma:internalName="LastPublication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54B329-7DB5-4DB6-9793-B2A004C8299B}">
  <ds:schemaRefs>
    <ds:schemaRef ds:uri="http://schemas.microsoft.com/office/2006/metadata/properties"/>
    <ds:schemaRef ds:uri="http://schemas.microsoft.com/office/infopath/2007/PartnerControls"/>
    <ds:schemaRef ds:uri="http://schemas.microsoft.com/sharepoint/v3"/>
    <ds:schemaRef ds:uri="14806AFC-DAB2-49B0-B3AC-FE1C762D219E"/>
  </ds:schemaRefs>
</ds:datastoreItem>
</file>

<file path=customXml/itemProps2.xml><?xml version="1.0" encoding="utf-8"?>
<ds:datastoreItem xmlns:ds="http://schemas.openxmlformats.org/officeDocument/2006/customXml" ds:itemID="{DE75219E-8504-41EA-83E5-8D298691A9DC}"/>
</file>

<file path=customXml/itemProps3.xml><?xml version="1.0" encoding="utf-8"?>
<ds:datastoreItem xmlns:ds="http://schemas.openxmlformats.org/officeDocument/2006/customXml" ds:itemID="{E54491A0-030A-4C12-BB28-DEBC3BCEA004}">
  <ds:schemaRefs>
    <ds:schemaRef ds:uri="http://schemas.openxmlformats.org/officeDocument/2006/bibliography"/>
  </ds:schemaRefs>
</ds:datastoreItem>
</file>

<file path=docMetadata/LabelInfo.xml><?xml version="1.0" encoding="utf-8"?>
<clbl:labelList xmlns:clbl="http://schemas.microsoft.com/office/2020/mipLabelMetadata">
  <clbl:label id="{3976fa30-1907-4356-8241-62ea5e1c0256}" enabled="1" method="Standard" siteId="{9a5cacd0-2bef-4dd7-ac5c-7ebe1f54f495}" removed="0"/>
</clbl:labelList>
</file>

<file path=docProps/app.xml><?xml version="1.0" encoding="utf-8"?>
<Properties xmlns="http://schemas.openxmlformats.org/officeDocument/2006/extended-properties" xmlns:vt="http://schemas.openxmlformats.org/officeDocument/2006/docPropsVTypes">
  <Template>2020 ESA Plain Document</Template>
  <TotalTime>1</TotalTime>
  <Pages>19</Pages>
  <Words>4486</Words>
  <Characters>30866</Characters>
  <Application>Microsoft Office Word</Application>
  <DocSecurity>0</DocSecurity>
  <Lines>656</Lines>
  <Paragraphs>380</Paragraphs>
  <ScaleCrop>false</ScaleCrop>
  <Company/>
  <LinksUpToDate>false</LinksUpToDate>
  <CharactersWithSpaces>34972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SPACE FOR SUSTAINABLE INDUSTRY AND DIGITAL BUSINESS TRANSFORMATION POC STUDIES - FIXED CALL FOR PROPOSALS</dc:title>
  <dc:subject/>
  <dc:creator>Benjamin Kind</dc:creator>
  <cp:keywords/>
  <dc:description/>
  <cp:lastModifiedBy>Sarah Carone</cp:lastModifiedBy>
  <cp:revision>9</cp:revision>
  <dcterms:created xsi:type="dcterms:W3CDTF">2025-04-28T14:56:00Z</dcterms:created>
  <dcterms:modified xsi:type="dcterms:W3CDTF">2026-09-16T12:16:00Z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0x010100F7A1F7F2BB1C934A881745589C4CAB3D</vt:lpwstr>
  </property>
  <property fmtid="{D5CDD505-2E9C-101B-9397-08002B2CF9AE}" pid="3" name="_dlc_DocIdItemGuid">
    <vt:lpwstr>8b7d2f3d-65cf-4961-ba3e-fe23879c126d</vt:lpwstr>
  </property>
  <property fmtid="{D5CDD505-2E9C-101B-9397-08002B2CF9AE}" pid="4" name="ESATemplate">
    <vt:lpwstr>ESAStandardDocument</vt:lpwstr>
  </property>
  <property fmtid="{D5CDD505-2E9C-101B-9397-08002B2CF9AE}" pid="5" name="SiteName">
    <vt:lpwstr/>
  </property>
  <property fmtid="{D5CDD505-2E9C-101B-9397-08002B2CF9AE}" pid="6" name="SiteAddress">
    <vt:lpwstr/>
  </property>
  <property fmtid="{D5CDD505-2E9C-101B-9397-08002B2CF9AE}" pid="7" name="EsaTemplateVersion">
    <vt:lpwstr>ESA Plain Document.dotx</vt:lpwstr>
  </property>
  <property fmtid="{D5CDD505-2E9C-101B-9397-08002B2CF9AE}" pid="8" name="MSIP_Label_3976fa30-1907-4356-8241-62ea5e1c0256_Enabled">
    <vt:lpwstr>true</vt:lpwstr>
  </property>
  <property fmtid="{D5CDD505-2E9C-101B-9397-08002B2CF9AE}" pid="9" name="MSIP_Label_3976fa30-1907-4356-8241-62ea5e1c0256_SetDate">
    <vt:lpwstr>2020-09-30T17:22:01Z</vt:lpwstr>
  </property>
  <property fmtid="{D5CDD505-2E9C-101B-9397-08002B2CF9AE}" pid="10" name="MSIP_Label_3976fa30-1907-4356-8241-62ea5e1c0256_Method">
    <vt:lpwstr>Standard</vt:lpwstr>
  </property>
  <property fmtid="{D5CDD505-2E9C-101B-9397-08002B2CF9AE}" pid="11" name="MSIP_Label_3976fa30-1907-4356-8241-62ea5e1c0256_Name">
    <vt:lpwstr>ESA UNCLASSIFIED – For ESA Official Use Only</vt:lpwstr>
  </property>
  <property fmtid="{D5CDD505-2E9C-101B-9397-08002B2CF9AE}" pid="12" name="MSIP_Label_3976fa30-1907-4356-8241-62ea5e1c0256_SiteId">
    <vt:lpwstr>9a5cacd0-2bef-4dd7-ac5c-7ebe1f54f495</vt:lpwstr>
  </property>
  <property fmtid="{D5CDD505-2E9C-101B-9397-08002B2CF9AE}" pid="13" name="MSIP_Label_3976fa30-1907-4356-8241-62ea5e1c0256_ActionId">
    <vt:lpwstr>c3ea6a59-674b-4af8-aefe-2c2d2e525a79</vt:lpwstr>
  </property>
  <property fmtid="{D5CDD505-2E9C-101B-9397-08002B2CF9AE}" pid="14" name="MSIP_Label_3976fa30-1907-4356-8241-62ea5e1c0256_ContentBits">
    <vt:lpwstr>0</vt:lpwstr>
  </property>
</Properties>
</file>